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F3" w:rsidRPr="00754D05" w:rsidRDefault="002724F3" w:rsidP="00F644B7">
      <w:pPr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C7F77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r w:rsidRPr="00754D05">
        <w:rPr>
          <w:rFonts w:ascii="Times New Roman" w:hAnsi="Times New Roman" w:cs="Times New Roman"/>
          <w:b/>
          <w:sz w:val="27"/>
          <w:szCs w:val="27"/>
        </w:rPr>
        <w:t xml:space="preserve">виконання результативних показників </w:t>
      </w:r>
      <w:r w:rsidR="00731F1E" w:rsidRPr="00754D05">
        <w:rPr>
          <w:rFonts w:ascii="Times New Roman" w:hAnsi="Times New Roman" w:cs="Times New Roman"/>
          <w:b/>
          <w:sz w:val="27"/>
          <w:szCs w:val="27"/>
        </w:rPr>
        <w:t>Міської цільової програми протидії епідемії ВІЛ-інфекції та реалізація стратегії</w:t>
      </w:r>
      <w:r w:rsidR="00ED4856" w:rsidRPr="00754D0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31F1E" w:rsidRPr="00754D05">
        <w:rPr>
          <w:rFonts w:ascii="Times New Roman" w:hAnsi="Times New Roman" w:cs="Times New Roman"/>
          <w:b/>
          <w:sz w:val="27"/>
          <w:szCs w:val="27"/>
        </w:rPr>
        <w:t xml:space="preserve">Fast-Track </w:t>
      </w:r>
      <w:proofErr w:type="spellStart"/>
      <w:r w:rsidR="00731F1E" w:rsidRPr="00754D05">
        <w:rPr>
          <w:rFonts w:ascii="Times New Roman" w:hAnsi="Times New Roman" w:cs="Times New Roman"/>
          <w:b/>
          <w:sz w:val="27"/>
          <w:szCs w:val="27"/>
        </w:rPr>
        <w:t>Cities</w:t>
      </w:r>
      <w:proofErr w:type="spellEnd"/>
    </w:p>
    <w:p w:rsidR="00731F1E" w:rsidRPr="00754D05" w:rsidRDefault="007D4A2B" w:rsidP="00F644B7">
      <w:pPr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54D05">
        <w:rPr>
          <w:rFonts w:ascii="Times New Roman" w:hAnsi="Times New Roman" w:cs="Times New Roman"/>
          <w:b/>
          <w:sz w:val="27"/>
          <w:szCs w:val="27"/>
        </w:rPr>
        <w:t xml:space="preserve"> за 9 місяців </w:t>
      </w:r>
      <w:r w:rsidR="00221BE4" w:rsidRPr="00754D05">
        <w:rPr>
          <w:rFonts w:ascii="Times New Roman" w:hAnsi="Times New Roman" w:cs="Times New Roman"/>
          <w:b/>
          <w:sz w:val="27"/>
          <w:szCs w:val="27"/>
        </w:rPr>
        <w:t>2020</w:t>
      </w:r>
      <w:r w:rsidR="00731F1E" w:rsidRPr="00754D05">
        <w:rPr>
          <w:rFonts w:ascii="Times New Roman" w:hAnsi="Times New Roman" w:cs="Times New Roman"/>
          <w:b/>
          <w:sz w:val="27"/>
          <w:szCs w:val="27"/>
        </w:rPr>
        <w:t xml:space="preserve"> р.</w:t>
      </w:r>
    </w:p>
    <w:p w:rsidR="003D1E6B" w:rsidRPr="00754D05" w:rsidRDefault="003D1E6B" w:rsidP="003D1E6B">
      <w:pPr>
        <w:pStyle w:val="a3"/>
        <w:tabs>
          <w:tab w:val="left" w:pos="4060"/>
        </w:tabs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3D1E6B" w:rsidRPr="00754D05" w:rsidRDefault="003D1E6B" w:rsidP="00221BE4">
      <w:pPr>
        <w:ind w:firstLine="709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507F45" w:rsidRPr="00754D05" w:rsidRDefault="002724F3" w:rsidP="00CF29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1.ЗАПОБІГАННЯ ПОШИРЕННЯ ВІЛ СЕРЕД КЛЮЧОВИХ ГРУП НАСЕЛЕННЯ</w:t>
      </w:r>
    </w:p>
    <w:p w:rsidR="004F7470" w:rsidRPr="00754D05" w:rsidRDefault="00507F45" w:rsidP="00F644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Кількіст</w:t>
      </w:r>
      <w:r w:rsidR="005E0FEE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ь</w:t>
      </w:r>
      <w:r w:rsidR="008C4DBD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осіб з ГПР</w:t>
      </w:r>
      <w:r w:rsidR="005E0FEE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, які отримали послуги  з профілактики </w:t>
      </w:r>
      <w:r w:rsidR="008C4DBD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про</w:t>
      </w:r>
      <w:r w:rsidR="00ED4856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тягом </w:t>
      </w:r>
      <w:r w:rsidR="002724F3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звітного періоду</w:t>
      </w:r>
      <w:r w:rsidR="00221BE4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2020</w:t>
      </w:r>
      <w:r w:rsidR="00360A2F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року </w:t>
      </w:r>
      <w:r w:rsidR="00ED4856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</w:t>
      </w:r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69 779 осіб, що становить 86,7</w:t>
      </w:r>
      <w:r w:rsidR="004F7470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</w:t>
      </w:r>
      <w:r w:rsidR="00ED4856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% від </w:t>
      </w:r>
      <w:r w:rsidR="004F7470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оціночної кількості груп підвищеного ризику щодо інфікування ВІЛ,</w:t>
      </w:r>
      <w:r w:rsidR="00CF291A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</w:t>
      </w:r>
      <w:r w:rsidR="004F7470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них:</w:t>
      </w:r>
    </w:p>
    <w:p w:rsidR="004F7470" w:rsidRPr="00754D05" w:rsidRDefault="004F7470" w:rsidP="00F644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>Показник 1.1.1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. «Людей, які вживають ін’єкційні наркотики (ЛВІН)»</w:t>
      </w:r>
      <w:r w:rsidR="002724F3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,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фа</w:t>
      </w:r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ктично охоплено послугами 40575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осіб, від планового показника 28 000 осіб. Річни</w:t>
      </w:r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й показник виконаний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. Показник сформований на підставі звітів неурядових організацій</w:t>
      </w:r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(ВБО "</w:t>
      </w:r>
      <w:proofErr w:type="spellStart"/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Конвіктус</w:t>
      </w:r>
      <w:proofErr w:type="spellEnd"/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Україна", ГО "Клуб Еней", ВБФ "</w:t>
      </w:r>
      <w:proofErr w:type="spellStart"/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Дроп</w:t>
      </w:r>
      <w:proofErr w:type="spellEnd"/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</w:t>
      </w:r>
      <w:proofErr w:type="spellStart"/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ін</w:t>
      </w:r>
      <w:proofErr w:type="spellEnd"/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Центр", </w:t>
      </w:r>
      <w:proofErr w:type="spellStart"/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го</w:t>
      </w:r>
      <w:proofErr w:type="spellEnd"/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"Клуб Еней")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та Київського міського центру сім</w:t>
      </w:r>
      <w:r w:rsidR="00CF291A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’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ї, дітей та молоді.</w:t>
      </w:r>
    </w:p>
    <w:p w:rsidR="002724F3" w:rsidRPr="00754D05" w:rsidRDefault="002724F3" w:rsidP="002724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Показник 1.1.2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Охоплення комплексним пакетом послуг</w:t>
      </w: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 «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Чоловіки, які мають сексуальні стосунки із чоловіками». Показник виконаний частково і за звітний період становить 74 % від планового річного показника. Показник сформований на підставі звітів двох неурядових організацій ГО "Альянс. </w:t>
      </w:r>
      <w:proofErr w:type="spellStart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Глобал</w:t>
      </w:r>
      <w:proofErr w:type="spellEnd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" та БО "100 відсотків життя"</w:t>
      </w:r>
    </w:p>
    <w:p w:rsidR="002724F3" w:rsidRPr="00754D05" w:rsidRDefault="002724F3" w:rsidP="00F644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val="ru-RU" w:eastAsia="uk-UA"/>
        </w:rPr>
      </w:pPr>
    </w:p>
    <w:p w:rsidR="00760D05" w:rsidRPr="00754D05" w:rsidRDefault="00CF291A" w:rsidP="00760D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>Показник 1.1.3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«Робітники комерційного сексу (РКС)», кількість осіб, які отримали послуги з </w:t>
      </w:r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профілактики ВІЛ становить 13339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від планово</w:t>
      </w:r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го річного показника 8100 </w:t>
      </w:r>
      <w:r w:rsidR="00760D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. </w:t>
      </w:r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Річний п</w:t>
      </w:r>
      <w:r w:rsidR="00760D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оказник виконаний. Показник сформований на підставі трь</w:t>
      </w:r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ох громадських організацій (ВБО "</w:t>
      </w:r>
      <w:proofErr w:type="spellStart"/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Конвіктус</w:t>
      </w:r>
      <w:proofErr w:type="spellEnd"/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Україна", ГО "Клуб Еней", ВБФ "</w:t>
      </w:r>
      <w:proofErr w:type="spellStart"/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Дроп</w:t>
      </w:r>
      <w:proofErr w:type="spellEnd"/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</w:t>
      </w:r>
      <w:proofErr w:type="spellStart"/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ін</w:t>
      </w:r>
      <w:proofErr w:type="spellEnd"/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Центр) за 9 місяців </w:t>
      </w:r>
      <w:r w:rsidR="00760D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2020 р.</w:t>
      </w:r>
    </w:p>
    <w:p w:rsidR="007D4A2B" w:rsidRPr="00754D05" w:rsidRDefault="007D4A2B" w:rsidP="00760D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</w:p>
    <w:p w:rsidR="00760D05" w:rsidRPr="00754D05" w:rsidRDefault="00760D05" w:rsidP="00760D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Показник 1.2.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Створення та розповсюдження інформаційних матеріалів. Річний</w:t>
      </w:r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показник виконаний за звітний період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. Так, в</w:t>
      </w:r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продовж 9 місяців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було</w:t>
      </w:r>
      <w:r w:rsidR="008D32BD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охоплено</w:t>
      </w:r>
      <w:r w:rsidR="007D4A2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інформаційними матеріалами 86,7</w:t>
      </w:r>
      <w:r w:rsidR="008D32BD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% груп підвищеного ризику від планового річного показника 30%.</w:t>
      </w:r>
    </w:p>
    <w:p w:rsidR="007735C9" w:rsidRPr="00754D05" w:rsidRDefault="008D32BD" w:rsidP="007735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Показник 1.3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Впровадження нових моделей профілактичної роботи з метою виходу на важкодоступні ГПР щодо інфікування ВІЛ. Показник виконаний. </w:t>
      </w:r>
      <w:r w:rsidR="007735C9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Річний показник виконаний.</w:t>
      </w:r>
    </w:p>
    <w:p w:rsidR="007735C9" w:rsidRPr="00754D05" w:rsidRDefault="007735C9" w:rsidP="007735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1.Створено</w:t>
      </w:r>
      <w:r w:rsidR="002724F3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інформаційно-мотиваційний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сайт gettest.com.ua   Основна мета сайту інформаційна </w:t>
      </w:r>
      <w:proofErr w:type="spellStart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камапанія</w:t>
      </w:r>
      <w:proofErr w:type="spellEnd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залучення  важкодоступних груп ризику до проходження обстеження на ВІЛ. Проект впроваджувала ГО "</w:t>
      </w:r>
      <w:proofErr w:type="spellStart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Альянс.Глобал</w:t>
      </w:r>
      <w:proofErr w:type="spellEnd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".          </w:t>
      </w:r>
    </w:p>
    <w:p w:rsidR="002724F3" w:rsidRPr="00754D05" w:rsidRDefault="007735C9" w:rsidP="008D32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2. Вихід на вуличні точки (притони) важкодоступних груп ризику (безхатьки, РКС, партнери ЛЖВ). Здійснюється обстеження на ВІЛ, ТБ, ІПСШ, у разі виявлення постановка під медичне спостереження та призначення лікування. </w:t>
      </w:r>
      <w:r w:rsidR="002724F3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Проект впроваджує </w:t>
      </w:r>
      <w:proofErr w:type="spellStart"/>
      <w:r w:rsidR="002724F3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ВБО«Конвіктус</w:t>
      </w:r>
      <w:proofErr w:type="spellEnd"/>
      <w:r w:rsidR="002724F3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України</w:t>
      </w:r>
      <w:r w:rsidR="002724F3"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 </w:t>
      </w:r>
    </w:p>
    <w:p w:rsidR="008D32BD" w:rsidRPr="00754D05" w:rsidRDefault="008D32BD" w:rsidP="008D32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>Показник 1.4.</w:t>
      </w:r>
      <w:r w:rsidRPr="00754D05">
        <w:rPr>
          <w:rFonts w:ascii="Times New Roman" w:hAnsi="Times New Roman" w:cs="Times New Roman"/>
          <w:sz w:val="27"/>
          <w:szCs w:val="27"/>
        </w:rPr>
        <w:t xml:space="preserve">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Забезпечення функціонування мобільних амбулаторій. </w:t>
      </w:r>
      <w:r w:rsidR="007D4A2B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Станом на 01.10</w:t>
      </w:r>
      <w:r w:rsidR="008C4DBD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2020 р. у м. Києві працюють 4 мобільних амбулаторій, на базі чотирьох громадських організацій: ВБФ «</w:t>
      </w:r>
      <w:proofErr w:type="spellStart"/>
      <w:r w:rsidR="008C4DBD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Дроп</w:t>
      </w:r>
      <w:proofErr w:type="spellEnd"/>
      <w:r w:rsidR="008C4DBD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="008C4DBD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ін</w:t>
      </w:r>
      <w:proofErr w:type="spellEnd"/>
      <w:r w:rsidR="008C4DBD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Центр", </w:t>
      </w:r>
      <w:proofErr w:type="spellStart"/>
      <w:r w:rsidR="008C4DBD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ВБО«Конвіктус</w:t>
      </w:r>
      <w:proofErr w:type="spellEnd"/>
      <w:r w:rsidR="008C4DBD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="008C4DBD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України”</w:t>
      </w:r>
      <w:proofErr w:type="spellEnd"/>
      <w:r w:rsidR="008C4DBD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Фундація </w:t>
      </w:r>
      <w:proofErr w:type="spellStart"/>
      <w:r w:rsidR="008C4DBD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АнтиСНІД-США</w:t>
      </w:r>
      <w:proofErr w:type="spellEnd"/>
      <w:r w:rsidR="008C4DBD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 Україні (AHF); ГО "Альянс Громадського здоров'я. </w:t>
      </w:r>
      <w:r w:rsidR="00E00987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Так, протягом </w:t>
      </w:r>
      <w:r w:rsidR="007D4A2B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9 </w:t>
      </w:r>
      <w:r w:rsidR="00E00987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місяців</w:t>
      </w:r>
      <w:r w:rsidR="008C4DBD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на маршрутах мобільних амбулаторій, кількість </w:t>
      </w:r>
      <w:r w:rsidR="008C4DBD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lastRenderedPageBreak/>
        <w:t>обстеж</w:t>
      </w:r>
      <w:r w:rsidR="00E00987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ених</w:t>
      </w:r>
      <w:r w:rsidR="007D4A2B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на ВІЛ-інфекцію становила 6093</w:t>
      </w:r>
      <w:r w:rsidR="008C4DBD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осіб.</w:t>
      </w:r>
      <w:r w:rsidR="007D4A2B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Кількість виявлених ВІЛ-позитивних осіб становила 128 осіб.</w:t>
      </w:r>
      <w:r w:rsidR="008C4DBD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7D4A2B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Відсоток</w:t>
      </w:r>
      <w:r w:rsidR="008C4DBD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осіб, які мали доступ до мобі</w:t>
      </w:r>
      <w:r w:rsidR="007D4A2B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льної амбулаторії становила 86,7</w:t>
      </w:r>
      <w:r w:rsidR="008C4DBD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%. </w:t>
      </w:r>
    </w:p>
    <w:p w:rsidR="002724F3" w:rsidRPr="00754D05" w:rsidRDefault="002724F3" w:rsidP="008D32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</w:pPr>
    </w:p>
    <w:p w:rsidR="002724F3" w:rsidRPr="00754D05" w:rsidRDefault="002724F3" w:rsidP="002724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>Показник 1.5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Кількість ЧСЧ, які отримали </w:t>
      </w:r>
      <w:proofErr w:type="spellStart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доконтатну</w:t>
      </w:r>
      <w:proofErr w:type="spellEnd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профілактику становила 752 особи. Забезпеченість  АРТ препаратами для впровадження </w:t>
      </w:r>
      <w:proofErr w:type="spellStart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доконтактної</w:t>
      </w:r>
      <w:proofErr w:type="spellEnd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профілактики здійснюється згідно централізованого  розподілу МОЗ України, плановий показник якого є 900 осіб, станом на 01.10.2020 року охоплено ДКП 752 осіб (83,5%). Охоплено 100 % ЧСЧ, які виявили отримувати </w:t>
      </w:r>
      <w:proofErr w:type="spellStart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доконтактну</w:t>
      </w:r>
      <w:proofErr w:type="spellEnd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профілактику.</w:t>
      </w:r>
    </w:p>
    <w:p w:rsidR="002724F3" w:rsidRPr="00754D05" w:rsidRDefault="002724F3" w:rsidP="008D32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7735C9" w:rsidRPr="00754D05" w:rsidRDefault="007735C9" w:rsidP="007735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Показник 1.6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Забезпечення ефективної системи виявлення ВІЛ-інфекції серед статевих партнерів ЛЖВ та взяття під медичне спостереження у випадку виявлення ВІЛ-інфекції. Так, протягом 9 міс. було виявлено 132 статевих партнерів, охоплено медичним спостереженням 100% всіх ВІЛ-інфікованих партнерів. </w:t>
      </w:r>
    </w:p>
    <w:p w:rsidR="006B4230" w:rsidRPr="00754D05" w:rsidRDefault="006B4230" w:rsidP="006B42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>Показник 1.7.1</w:t>
      </w:r>
      <w:r w:rsidRPr="00754D05">
        <w:rPr>
          <w:rFonts w:ascii="Times New Roman" w:hAnsi="Times New Roman" w:cs="Times New Roman"/>
          <w:sz w:val="27"/>
          <w:szCs w:val="27"/>
        </w:rPr>
        <w:t xml:space="preserve">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Проведення ремонту приміщень з метою розширення мережі кабінетів ЗПТ на базі закладів охорони </w:t>
      </w:r>
      <w:proofErr w:type="spellStart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здоровя</w:t>
      </w:r>
      <w:proofErr w:type="spellEnd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ПМСД. 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Кабінети ЗПТ запроваджено у 9 районах м. Києва.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Показник виконаний впродовж 2017-2018 років</w:t>
      </w:r>
    </w:p>
    <w:p w:rsidR="006B4230" w:rsidRPr="00754D05" w:rsidRDefault="006B4230" w:rsidP="006B42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>Показник 1.7.2.</w:t>
      </w:r>
      <w:r w:rsidRPr="00754D05">
        <w:rPr>
          <w:rFonts w:ascii="Times New Roman" w:hAnsi="Times New Roman" w:cs="Times New Roman"/>
          <w:sz w:val="27"/>
          <w:szCs w:val="27"/>
        </w:rPr>
        <w:t xml:space="preserve">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Проведення Оснащення кабінетів ЗПТ на базі закладів охорони </w:t>
      </w:r>
      <w:proofErr w:type="spellStart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здоровя</w:t>
      </w:r>
      <w:proofErr w:type="spellEnd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ПМСД. Показник виконаний впродовж 2017-2018 років. </w:t>
      </w:r>
    </w:p>
    <w:p w:rsidR="006B4230" w:rsidRPr="00754D05" w:rsidRDefault="006B4230" w:rsidP="006B42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>Показник 1.7.3.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Реалізація ЗПТ на базі закладів охорони здоров,я, які надають первинну медико-санітарну допомогу. Кабінети ЗПТ відкрито на базі 13 КНП «ЦПМСД». Показник виконаний впродовж 2017-2018 років</w:t>
      </w:r>
    </w:p>
    <w:p w:rsidR="002724F3" w:rsidRPr="00754D05" w:rsidRDefault="002724F3" w:rsidP="002724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Показник 1.7.4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Забезпечення препаратами замісної підтримувальної терапії (ЗПТ). Охоплено 70,2% (1227 осіб) від планового річного показника 1750 осіб. Послугами охоплено 100% осіб, які виявили отримувати ЗПТ. </w:t>
      </w:r>
    </w:p>
    <w:p w:rsidR="002724F3" w:rsidRPr="00754D05" w:rsidRDefault="002724F3" w:rsidP="002724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Показник 1.8.1 </w:t>
      </w: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ru-RU" w:eastAsia="uk-UA"/>
        </w:rPr>
        <w:t xml:space="preserve">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Охоплення вагітних жінок обстеженням на ВІЛ-інфекцію. Тестуванням охоплено 100% вагітних жінок, які виявили пройти обстеження на ВІЛ, проте показник виконаний частково – 55,8%, обумовлено це зменшенням </w:t>
      </w:r>
      <w:proofErr w:type="spellStart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кількостю</w:t>
      </w:r>
      <w:proofErr w:type="spellEnd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вагітних загалом у місті Києві</w:t>
      </w:r>
    </w:p>
    <w:p w:rsidR="002724F3" w:rsidRPr="00754D05" w:rsidRDefault="002724F3" w:rsidP="002724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>Показник 1.8.2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. Забезпечення адаптованими молочними сумішами дітей першого року життя.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Під медичним спостереженням у КМЦ СНІДу знаходиться 126 дитини віком до одного року, які були народжені ВІЛ-інфікованими матерями, 100% з них забезпечені адаптованими молочними сумішами. Показник «Рівень передачі ВІЛ від матері до дитини» у 2018 році становить 2,5%.</w:t>
      </w:r>
    </w:p>
    <w:p w:rsidR="002724F3" w:rsidRPr="00754D05" w:rsidRDefault="002724F3" w:rsidP="002724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>Показник 1.8.3.</w:t>
      </w:r>
      <w:r w:rsidRPr="00754D05">
        <w:rPr>
          <w:rFonts w:ascii="Times New Roman" w:hAnsi="Times New Roman" w:cs="Times New Roman"/>
          <w:sz w:val="27"/>
          <w:szCs w:val="27"/>
        </w:rPr>
        <w:t xml:space="preserve">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Забезпечення </w:t>
      </w:r>
      <w:proofErr w:type="spellStart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антиретровірусними</w:t>
      </w:r>
      <w:proofErr w:type="spellEnd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препаратами для профілактики передачі ВІЛ-інфекції від матері до дитини. Протягом звітного періоду народилось 113 (37,6%) дітей, від планового річного показника. Профілактикою охоплено 100% від потребуючих </w:t>
      </w:r>
    </w:p>
    <w:p w:rsidR="006C3781" w:rsidRPr="00754D05" w:rsidRDefault="006C3781" w:rsidP="006C37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>Показник 1.9</w:t>
      </w:r>
      <w:r w:rsidR="002724F3"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ru-RU" w:eastAsia="uk-UA"/>
        </w:rPr>
        <w:t xml:space="preserve"> </w:t>
      </w:r>
      <w:proofErr w:type="spellStart"/>
      <w:r w:rsidR="002724F3"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ru-RU" w:eastAsia="uk-UA"/>
        </w:rPr>
        <w:t>Показник</w:t>
      </w:r>
      <w:proofErr w:type="spellEnd"/>
      <w:r w:rsidR="002724F3"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ru-RU" w:eastAsia="uk-UA"/>
        </w:rPr>
        <w:t xml:space="preserve"> </w:t>
      </w:r>
      <w:proofErr w:type="spellStart"/>
      <w:r w:rsidR="002724F3"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ru-RU" w:eastAsia="uk-UA"/>
        </w:rPr>
        <w:t>виконаний</w:t>
      </w:r>
      <w:proofErr w:type="spellEnd"/>
      <w:r w:rsidR="002724F3"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ru-RU" w:eastAsia="uk-UA"/>
        </w:rPr>
        <w:t>.</w:t>
      </w: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Розвиток людських ресурсів.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Кількість осіб, які пройшли навчання  щодо профілактичних послуг ГПР 73 осіб від планового річного показника 60 осіб. Навчання та практичні навички здійснювались безпосередньо у польових умовах</w:t>
      </w:r>
    </w:p>
    <w:p w:rsidR="006C3781" w:rsidRPr="00754D05" w:rsidRDefault="006C3781" w:rsidP="006C37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</w:pPr>
    </w:p>
    <w:p w:rsidR="006C3781" w:rsidRPr="00754D05" w:rsidRDefault="006C3781" w:rsidP="00F644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9239D5" w:rsidRPr="00754D05" w:rsidRDefault="002724F3" w:rsidP="001429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lastRenderedPageBreak/>
        <w:t>2.ОХОПЛЕННЯ НАСЕЛЕННЯ ПОСЛУГАМИ З ТЕСТУВАННЯ НА ВІЛ (ПТВ), НАСАМПЕРЕД ПРЕДСТАВНИКІВ ГПР ЩОДО ІНФІКУВАННЯ ВІЛ</w:t>
      </w:r>
    </w:p>
    <w:p w:rsidR="0014290F" w:rsidRPr="00754D05" w:rsidRDefault="0014290F" w:rsidP="001429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Показник 2.1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Забезпечити доступне та ефективне тестування населення на ВІЛ у ЗОЗ та кабінетах Довіри за принципом "тестуй та реєструй".</w:t>
      </w:r>
      <w:r w:rsidR="0061467C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Обстеженням на ВІЛ здійснюється на первинній, вторинній, третинній ланках. Послугами з тестування охоплено 100%</w:t>
      </w:r>
      <w:r w:rsidR="00851349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(104</w:t>
      </w:r>
      <w:r w:rsidR="0085777C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заклади)</w:t>
      </w:r>
      <w:r w:rsidR="0061467C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ЗОЗ м. Києва.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Загалом у місті Києві впродовж </w:t>
      </w:r>
      <w:r w:rsidR="00851349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звітного періоду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було обстежено </w:t>
      </w:r>
      <w:r w:rsidR="00851349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144836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осіб, у тому числі у закладах о</w:t>
      </w:r>
      <w:r w:rsidR="00851349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хорони здоров’я обстежено 58 018 осі</w:t>
      </w:r>
      <w:r w:rsidR="00ED1CCC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б.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Показник виконаний частково і ста</w:t>
      </w:r>
      <w:r w:rsidR="00851349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новить на 01.10.2020 року 82,9 </w:t>
      </w:r>
      <w:r w:rsidR="0061467C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% від планового річного показника</w:t>
      </w:r>
      <w:r w:rsidR="00ED1CCC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.</w:t>
      </w:r>
    </w:p>
    <w:p w:rsidR="00ED1CCC" w:rsidRPr="00754D05" w:rsidRDefault="00ED1CCC" w:rsidP="001429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КНП «Київський міський центр крові» здійснюється обстеження на ВІЛ донорської крові, так протягом звітного періоду було обстежено 17 158  </w:t>
      </w:r>
      <w:proofErr w:type="spellStart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донацій</w:t>
      </w:r>
      <w:proofErr w:type="spellEnd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крові.</w:t>
      </w:r>
    </w:p>
    <w:p w:rsidR="0085777C" w:rsidRPr="00754D05" w:rsidRDefault="0085777C" w:rsidP="001429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Також, </w:t>
      </w:r>
      <w:r w:rsidR="00851349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у другому кварталі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було здійснено 6 виїздів вуличних акцій тестування на ВІЛ серед загального населення. </w:t>
      </w:r>
      <w:r w:rsidR="00606911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Кількість осіб, які виявили пройти обстеження становила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985 осіб</w:t>
      </w:r>
      <w:r w:rsidR="00606911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.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</w:t>
      </w:r>
      <w:r w:rsidR="00606911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У 13 осіб було виявлено антитіла до ВІЛ. Всі особи були перенаправленні до КМЦ СНІДу на подальше дообстеження та взяття під медичне спостереження. </w:t>
      </w:r>
    </w:p>
    <w:p w:rsidR="00E075D5" w:rsidRPr="00754D05" w:rsidRDefault="00445E6F" w:rsidP="00E075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i/>
          <w:sz w:val="27"/>
          <w:szCs w:val="27"/>
          <w:lang w:eastAsia="uk-UA"/>
        </w:rPr>
        <w:t xml:space="preserve">Показник 2.2 </w:t>
      </w:r>
      <w:r w:rsidR="00E075D5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Проведення міського дня тестування  на ВІЛ-інфекцію (щомісяця) в закладах охорони здоров'я, що засновані на комунальній власності територіальної громади міста Києва. Показник не виконаний із-за відсутності наказу ДОЗ </w:t>
      </w:r>
    </w:p>
    <w:p w:rsidR="00DD0551" w:rsidRPr="00754D05" w:rsidRDefault="0014290F" w:rsidP="001F15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Показник 2.3 </w:t>
      </w:r>
      <w:r w:rsidR="0061467C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Забезпечення високого рів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ня результативності профілактичної роботи громадських організацій в частині виявлення ВІЛ серед осіб, що належать до ГПР</w:t>
      </w:r>
      <w:r w:rsidR="001F15DA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. </w:t>
      </w:r>
      <w:r w:rsidR="00DD0551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Річний показник виконаний частково. </w:t>
      </w:r>
      <w:r w:rsidR="001F15DA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Тестування на ВІЛ проводять 6 громадських організацій</w:t>
      </w:r>
      <w:r w:rsidR="00DD0551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, дві з яких у межах проекту </w:t>
      </w:r>
      <w:proofErr w:type="spellStart"/>
      <w:r w:rsidR="00DD0551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val="en-US" w:eastAsia="uk-UA"/>
        </w:rPr>
        <w:t>Healthlink</w:t>
      </w:r>
      <w:proofErr w:type="spellEnd"/>
      <w:r w:rsidR="00DD0551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val="ru-RU" w:eastAsia="uk-UA"/>
        </w:rPr>
        <w:t xml:space="preserve"> (БО “</w:t>
      </w:r>
      <w:r w:rsidR="00DD0551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100 відсотків життя»,  ГО «</w:t>
      </w:r>
      <w:proofErr w:type="spellStart"/>
      <w:r w:rsidR="00DD0551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МендЗдрав</w:t>
      </w:r>
      <w:proofErr w:type="spellEnd"/>
      <w:r w:rsidR="00DD0551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»)</w:t>
      </w:r>
    </w:p>
    <w:p w:rsidR="00ED1CCC" w:rsidRPr="00754D05" w:rsidRDefault="00DD0551" w:rsidP="001F15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Кількість осіб, яких було обстежено протягом звітного періоду </w:t>
      </w:r>
      <w:r w:rsidR="00ED1CCC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загалом 77</w:t>
      </w:r>
      <w:r w:rsidR="00445E6F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</w:t>
      </w:r>
      <w:r w:rsidR="00ED1CCC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266 особи, з них 1</w:t>
      </w:r>
      <w:r w:rsidR="00445E6F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</w:t>
      </w:r>
      <w:r w:rsidR="00ED1CCC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173 отримали ВІЛ-позитивний результат, взято під нагляд протягом звітного року з уперше в житті встановленим діагнозом ВІЛ-інфекція 667 особа. </w:t>
      </w:r>
      <w:r w:rsidR="00445E6F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Річний показник виконаний </w:t>
      </w:r>
      <w:proofErr w:type="spellStart"/>
      <w:r w:rsidR="00445E6F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частковоі</w:t>
      </w:r>
      <w:proofErr w:type="spellEnd"/>
      <w:r w:rsidR="00445E6F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становить 20%</w:t>
      </w:r>
    </w:p>
    <w:p w:rsidR="001F15DA" w:rsidRPr="00754D05" w:rsidRDefault="001F15DA" w:rsidP="001F15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Показник 2.4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Проведення якості досліджень з використанням швидких тестів. Показник запланований на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val="en-US" w:eastAsia="uk-UA"/>
        </w:rPr>
        <w:t>IV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val="ru-RU" w:eastAsia="uk-UA"/>
        </w:rPr>
        <w:t xml:space="preserve">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квартал 2020 року. Показник не виконаний</w:t>
      </w:r>
    </w:p>
    <w:p w:rsidR="001F15DA" w:rsidRPr="00754D05" w:rsidRDefault="001F15DA" w:rsidP="008577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Показник 2.5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Навчання медичних працівників навичкам ПТВ, для проведення скринінгу населення на ВІЛ на базі ПМСД. За </w:t>
      </w:r>
      <w:r w:rsidR="00445E6F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звітний період 19</w:t>
      </w:r>
      <w:r w:rsidR="0085777C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осіб пройшли навчання  у рамках проекту </w:t>
      </w:r>
      <w:proofErr w:type="spellStart"/>
      <w:r w:rsidR="0085777C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Health</w:t>
      </w:r>
      <w:r w:rsidR="00445E6F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tink</w:t>
      </w:r>
      <w:proofErr w:type="spellEnd"/>
      <w:r w:rsidR="00445E6F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.  Показник </w:t>
      </w:r>
      <w:proofErr w:type="spellStart"/>
      <w:r w:rsidR="00445E6F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виконанний</w:t>
      </w:r>
      <w:proofErr w:type="spellEnd"/>
      <w:r w:rsidR="00445E6F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на 63,3</w:t>
      </w:r>
      <w:r w:rsidR="0085777C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% від планового річного показника. Основною причиною невиконання показника є впровадження </w:t>
      </w:r>
      <w:proofErr w:type="spellStart"/>
      <w:r w:rsidR="0085777C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карантиних</w:t>
      </w:r>
      <w:proofErr w:type="spellEnd"/>
      <w:r w:rsidR="0085777C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заходів у місті Києві</w:t>
      </w:r>
    </w:p>
    <w:p w:rsidR="0061467C" w:rsidRPr="00754D05" w:rsidRDefault="0085777C" w:rsidP="008577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Показник 2.6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Навчання медичних працівників навичкам ПТВ, для проведення скринінгу населення на ВІЛ на базі вт</w:t>
      </w:r>
      <w:r w:rsidR="00445E6F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о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ринного рівня.</w:t>
      </w:r>
      <w:r w:rsidRPr="00754D05">
        <w:rPr>
          <w:rFonts w:ascii="Times New Roman" w:hAnsi="Times New Roman" w:cs="Times New Roman"/>
          <w:sz w:val="27"/>
          <w:szCs w:val="27"/>
        </w:rPr>
        <w:t xml:space="preserve">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Кількість лікарів закладів охорони здоров’я вторинного та третинного рівня, які впродовж звітного періоду пройшли навчання з питань застосування у практиці навичок з ПТ</w:t>
      </w:r>
      <w:r w:rsidR="00445E6F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В становить 148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осіб, плановий річний показн</w:t>
      </w:r>
      <w:r w:rsidR="00445E6F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ик 20 осіб. Показник виконаний. 15 осіб пройшли навчання на базі КНП « КМКЛ №5», 133 особи пройшли навчання у  межах проекту </w:t>
      </w:r>
      <w:proofErr w:type="spellStart"/>
      <w:r w:rsidR="00445E6F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Healthtink</w:t>
      </w:r>
      <w:proofErr w:type="spellEnd"/>
      <w:r w:rsidR="00445E6F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.</w:t>
      </w:r>
    </w:p>
    <w:p w:rsidR="00ED4856" w:rsidRPr="00754D05" w:rsidRDefault="00ED4856" w:rsidP="00F644B7">
      <w:pPr>
        <w:ind w:left="141"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</w:p>
    <w:p w:rsidR="00606911" w:rsidRPr="00754D05" w:rsidRDefault="00E075D5" w:rsidP="00606911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ЗАЛУЧЕННЯ ДО СИСТЕМИ МЕДИЧНОГО НАГЛЯДУ ЛЮДЕЙ, ЯКІ ЖИВУТЬ З ВІЛ </w:t>
      </w:r>
    </w:p>
    <w:p w:rsidR="00E075D5" w:rsidRPr="00754D05" w:rsidRDefault="00606911" w:rsidP="00E075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lastRenderedPageBreak/>
        <w:t>Показник 3.1</w:t>
      </w:r>
      <w:r w:rsidR="000420B3" w:rsidRPr="00754D0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</w:t>
      </w:r>
      <w:r w:rsidR="000420B3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Кількість осіб, яким проведено лабораторне пі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дтвердження ВІЛ-інфекції - </w:t>
      </w:r>
      <w:r w:rsidR="00E075D5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1987</w:t>
      </w:r>
      <w:r w:rsidR="000420B3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осіб. Кількість зареєстрован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их нових випадків ВІЛ-інфекції за </w:t>
      </w:r>
      <w:r w:rsidR="00E075D5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звітний період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</w:t>
      </w:r>
      <w:r w:rsidR="00E075D5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1085 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осіб</w:t>
      </w:r>
      <w:r w:rsidR="00E075D5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, у тому числі 105 дітей діагноз ВІЛ-інфекція у стадії підтвердження.</w:t>
      </w:r>
      <w:r w:rsidR="000420B3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Динаміка показника охоплення ЛЖВ </w:t>
      </w:r>
      <w:r w:rsidR="00E075D5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медичним наглядом </w:t>
      </w:r>
      <w:r w:rsidR="000420B3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від</w:t>
      </w:r>
      <w:r w:rsidR="00E075D5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загальної</w:t>
      </w:r>
      <w:r w:rsidR="000420B3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кілько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сті виявлених </w:t>
      </w:r>
      <w:r w:rsidR="00E075D5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ВІЛ-позитивних зразків крові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становить </w:t>
      </w:r>
      <w:r w:rsidR="007F318A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52,3</w:t>
      </w:r>
      <w:r w:rsidR="00E075D5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%.</w:t>
      </w:r>
    </w:p>
    <w:p w:rsidR="000420B3" w:rsidRPr="00754D05" w:rsidRDefault="00F644B7" w:rsidP="00E075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0420B3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Охоплен</w:t>
      </w:r>
      <w:r w:rsidR="00E075D5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о 100% медичним спостереженням </w:t>
      </w:r>
      <w:r w:rsidR="000420B3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осіб, у яких було виявлено</w:t>
      </w:r>
      <w:r w:rsidR="00E075D5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та підтверджено</w:t>
      </w:r>
      <w:r w:rsidR="00606911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ВІЛ-інфекцію протягом звітного періоду</w:t>
      </w:r>
      <w:r w:rsidR="000420B3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, і які</w:t>
      </w:r>
      <w:r w:rsidR="007F318A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,</w:t>
      </w:r>
      <w:r w:rsidR="000420B3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виявили бажання отримувати медичну допомогу у м. Києві</w:t>
      </w:r>
      <w:r w:rsidR="00B83BC1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</w:t>
      </w:r>
      <w:r w:rsidR="00606911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Показник виконаний частково</w:t>
      </w:r>
      <w:r w:rsidR="007F318A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  <w:r w:rsidR="00606911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13195F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Однією із причин є відставання у темпах виявлення ВІЛ серед населення. Стано</w:t>
      </w:r>
      <w:r w:rsidR="007F318A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м на 01.10</w:t>
      </w:r>
      <w:r w:rsidR="0013195F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.2020 року перший цільовий показник «90» (90% людей, які живуть з ВІЛ, знають свій ВІЛ-с</w:t>
      </w:r>
      <w:r w:rsidR="007F318A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татус) збільшився і становить 75,2% (14 910</w:t>
      </w:r>
      <w:r w:rsidR="0013195F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осіб від оціночної чисельності 19 837 людини). </w:t>
      </w:r>
    </w:p>
    <w:p w:rsidR="00B83BC1" w:rsidRPr="00754D05" w:rsidRDefault="0013195F" w:rsidP="0013195F">
      <w:pPr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Показник 3.1.2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Охоплення медичним спостереженням осіб, яким встановлено діагноз ВІЛ/СНІД під час перебування на стаціонарному лікуванні у ЗОЗ.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B83BC1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Кількість осіб, у яких діагностовано ВІЛ-інфекцію під час перебування на стаці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онарному лікуванні становить </w:t>
      </w:r>
      <w:r w:rsidR="007F318A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480</w:t>
      </w:r>
      <w:r w:rsidR="00B83BC1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осіб. Частка  ЛЖВ, яких було взято на диспансерний облік з приводу ВІЛ-інфекції з числа вперше </w:t>
      </w:r>
      <w:proofErr w:type="spellStart"/>
      <w:r w:rsidR="00B83BC1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діа</w:t>
      </w:r>
      <w:r w:rsidR="007F318A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гностованих</w:t>
      </w:r>
      <w:proofErr w:type="spellEnd"/>
      <w:r w:rsidR="007F318A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у </w:t>
      </w:r>
      <w:proofErr w:type="spellStart"/>
      <w:r w:rsidR="007F318A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ЗОЗ</w:t>
      </w:r>
      <w:proofErr w:type="spellEnd"/>
      <w:r w:rsidR="007F318A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становить 59,0</w:t>
      </w:r>
      <w:r w:rsidR="00B83BC1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%.</w:t>
      </w:r>
    </w:p>
    <w:p w:rsidR="00B83BC1" w:rsidRPr="00754D05" w:rsidRDefault="00B83BC1" w:rsidP="00F644B7">
      <w:pPr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Основні причини відносно низького показника охоплення </w:t>
      </w:r>
      <w:r w:rsidR="0013195F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медичним спостереженням є 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пацієнти, яких виявляють у термінальній стадії і які помирають у </w:t>
      </w:r>
      <w:proofErr w:type="spellStart"/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ЗОЗ</w:t>
      </w:r>
      <w:proofErr w:type="spellEnd"/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;</w:t>
      </w:r>
      <w:r w:rsidR="007F318A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Неякісне </w:t>
      </w:r>
      <w:proofErr w:type="spellStart"/>
      <w:r w:rsidR="007F318A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дотестове</w:t>
      </w:r>
      <w:proofErr w:type="spellEnd"/>
      <w:r w:rsidR="007F318A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консу</w:t>
      </w:r>
      <w:r w:rsidR="0013195F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льтування - повторно виявлені і вже спостерігаються у КМЦ СНІДу; Відмова від медичного спостереження пацієнтів, без постійного місця проживання(бомжі); Виявлення ВІЛ-інфікованих осіб, які є мешканцями інших областей України.</w:t>
      </w:r>
    </w:p>
    <w:p w:rsidR="007F318A" w:rsidRPr="00754D05" w:rsidRDefault="0013195F" w:rsidP="00FE2817">
      <w:pPr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Показник 3.1.3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Здійснення медичного нагляду ЛЖВ лікарем інфекціоністом за місцем проживання.</w:t>
      </w:r>
      <w:r w:rsidR="00FE2817" w:rsidRPr="00754D0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</w:t>
      </w:r>
      <w:r w:rsidR="00FE2817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Протягом звітного періоду у КНП  КДЦ було виявлено та охо</w:t>
      </w:r>
      <w:r w:rsidR="007F318A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плено медичним спостереженням 131  ВІЛ- позитивна особа</w:t>
      </w:r>
      <w:r w:rsidR="00FE2817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</w:t>
      </w:r>
      <w:r w:rsidR="007F318A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Динаміка частки осіб, які спостерігаються з приводу ВІЛ-інфекції за місцем проживання (на базі КІЗ) від кількості ЛЖВ, зареєстрованих на даній адміністративно-територіальній одинці становить 49,0%. Показник  у повному обсязі неможливо  подати  із-за міграційних процесів у розрізі адміністративних районів міста Києва</w:t>
      </w:r>
    </w:p>
    <w:p w:rsidR="00FE2817" w:rsidRPr="00754D05" w:rsidRDefault="00FE2817" w:rsidP="00FE2817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Показник 3.1.4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Забезпечення супроводу соціальними працівниками НУО представників груп підвищеного ризику щодо інфікування ВІЛ до ЗОЗ. Кількість ЛЖВ з числа ГПР, які звернулися за направленням НУО для отриманням допомоги</w:t>
      </w:r>
      <w:r w:rsidR="007F318A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за звітний період становить 890 осіб  або 98,8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% від планового річного показника.</w:t>
      </w:r>
      <w:r w:rsidRPr="00754D05">
        <w:rPr>
          <w:rFonts w:ascii="Times New Roman" w:hAnsi="Times New Roman" w:cs="Times New Roman"/>
          <w:sz w:val="27"/>
          <w:szCs w:val="27"/>
        </w:rPr>
        <w:t xml:space="preserve"> </w:t>
      </w:r>
      <w:r w:rsidR="00BF2127" w:rsidRPr="00754D05">
        <w:rPr>
          <w:rFonts w:ascii="Times New Roman" w:hAnsi="Times New Roman" w:cs="Times New Roman"/>
          <w:sz w:val="27"/>
          <w:szCs w:val="27"/>
        </w:rPr>
        <w:t>Д</w:t>
      </w:r>
      <w:r w:rsidRPr="00754D05">
        <w:rPr>
          <w:rFonts w:ascii="Times New Roman" w:hAnsi="Times New Roman" w:cs="Times New Roman"/>
          <w:sz w:val="27"/>
          <w:szCs w:val="27"/>
        </w:rPr>
        <w:t>инаміка частки ЛЖВ, які звернулися до закладу за направленням НУО</w:t>
      </w:r>
      <w:r w:rsidR="007F318A" w:rsidRPr="00754D05">
        <w:rPr>
          <w:rFonts w:ascii="Times New Roman" w:hAnsi="Times New Roman" w:cs="Times New Roman"/>
          <w:sz w:val="27"/>
          <w:szCs w:val="27"/>
        </w:rPr>
        <w:t>, з них взято під медичний нагляд</w:t>
      </w:r>
      <w:r w:rsidR="00BF2127" w:rsidRPr="00754D05">
        <w:rPr>
          <w:rFonts w:ascii="Times New Roman" w:hAnsi="Times New Roman" w:cs="Times New Roman"/>
          <w:sz w:val="27"/>
          <w:szCs w:val="27"/>
        </w:rPr>
        <w:t xml:space="preserve"> становить </w:t>
      </w:r>
      <w:r w:rsidR="003F7005" w:rsidRPr="00754D05">
        <w:rPr>
          <w:rFonts w:ascii="Times New Roman" w:hAnsi="Times New Roman" w:cs="Times New Roman"/>
          <w:sz w:val="27"/>
          <w:szCs w:val="27"/>
        </w:rPr>
        <w:t xml:space="preserve">75,9 </w:t>
      </w:r>
      <w:r w:rsidR="00BF2127" w:rsidRPr="00754D05">
        <w:rPr>
          <w:rFonts w:ascii="Times New Roman" w:hAnsi="Times New Roman" w:cs="Times New Roman"/>
          <w:sz w:val="27"/>
          <w:szCs w:val="27"/>
        </w:rPr>
        <w:t>% від планового річного показника. Показник виконаний частково.</w:t>
      </w:r>
    </w:p>
    <w:p w:rsidR="00BF2127" w:rsidRPr="00754D05" w:rsidRDefault="00BF2127" w:rsidP="00605E96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Показник 3.1.5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Скорочення термінів взяття ЛЖВ під медичний нагляд у разі виявлення ВІЛ-інфекції. Кількість ЛЖВ, яких було взято під медичний нагляд у день первинного звернення з приводу </w:t>
      </w:r>
      <w:proofErr w:type="spellStart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діагнос</w:t>
      </w:r>
      <w:r w:rsidR="000E5F04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то</w:t>
      </w:r>
      <w:r w:rsidR="003F70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ваної</w:t>
      </w:r>
      <w:proofErr w:type="spellEnd"/>
      <w:r w:rsidR="003F70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ВІЛ-інфекції становить 90</w:t>
      </w:r>
      <w:r w:rsidR="000E5F04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%</w:t>
      </w:r>
      <w:r w:rsidR="000E5F04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.</w:t>
      </w:r>
      <w:r w:rsidR="003F70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Показник виконаний</w:t>
      </w:r>
      <w:r w:rsidR="003F70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.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</w:t>
      </w:r>
    </w:p>
    <w:p w:rsidR="00BF2127" w:rsidRPr="00754D05" w:rsidRDefault="00BF2127" w:rsidP="00605E96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Показник 3.2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Забезпечення діагностики опортуністичних інфекцій у ЛЖВ при взятті під медичний нагляд.  Динаміка частки ЛЖВ, які  обстежені на опортуністичні інфекції від числа взятих пі</w:t>
      </w:r>
      <w:r w:rsidR="003F70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д медичний нагляд становить 36,6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%, плановий річний показник становить -20%. Показник виконаний.</w:t>
      </w:r>
    </w:p>
    <w:p w:rsidR="00FE2817" w:rsidRPr="00754D05" w:rsidRDefault="004B550D" w:rsidP="00605E96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lastRenderedPageBreak/>
        <w:t xml:space="preserve">Показник 3.3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Забезпечення клініко-лабораторним обстеженням ЛЖВ при взятті під медичний нагляд у зв’язку із ВІЛ-інфекцією. Кількість ЛЖВ, які охоплені к</w:t>
      </w:r>
      <w:r w:rsidR="000E5F04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лініко лабораторним обстеженням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( діагностика вірусних гепатитів В і С, діагностика сифілісу, гематологічні та біохімічні, імунологічні дослідження) станови</w:t>
      </w:r>
      <w:r w:rsidR="003F70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ть 1084 осо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б</w:t>
      </w:r>
      <w:r w:rsidR="003F70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и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.</w:t>
      </w:r>
      <w:r w:rsidR="003F70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Охоплено обстеженням  100% ЛЖВ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, яким вперше встановлено діагноз ВІЛ-інфекція. Показник </w:t>
      </w:r>
      <w:r w:rsidR="003F70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виконаний частково і становить 51,6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%  відносно планового річного показника. У повному обсязі забезпечено вакуумними системами (</w:t>
      </w:r>
      <w:proofErr w:type="spellStart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вакутайнери</w:t>
      </w:r>
      <w:proofErr w:type="spellEnd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) для забору крові.</w:t>
      </w:r>
    </w:p>
    <w:p w:rsidR="003F7005" w:rsidRPr="00754D05" w:rsidRDefault="004B550D" w:rsidP="00605E96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Показник 3.4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Забезпечення профілактики та лікування опортуністичних інфекцій у ЛЖВ. </w:t>
      </w:r>
      <w:r w:rsidR="003F70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Р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ічний показник</w:t>
      </w:r>
      <w:r w:rsidR="003F70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загалом виконаний, зокрема:</w:t>
      </w:r>
      <w:r w:rsidR="00EB34EF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</w:t>
      </w:r>
    </w:p>
    <w:p w:rsidR="004B550D" w:rsidRPr="00754D05" w:rsidRDefault="00EB34EF" w:rsidP="00605E96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- </w:t>
      </w:r>
      <w:r w:rsidR="004B550D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кількість ЛЖВ, які отримали профіла</w:t>
      </w:r>
      <w:r w:rsidR="003F70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ктику туберкульозу становить 872 особи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, плановий показник 1250 осіб. Показник ви</w:t>
      </w:r>
      <w:r w:rsidR="003F70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конано частково і становить 69,7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% від планового річного показника - 100%. Охоплено 100% від потребуючих.</w:t>
      </w:r>
    </w:p>
    <w:p w:rsidR="00EB34EF" w:rsidRPr="00754D05" w:rsidRDefault="00EB34EF" w:rsidP="00605E96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- кількість ЛЖВ, які отримали профілактику </w:t>
      </w:r>
      <w:proofErr w:type="spellStart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пневмоцистної</w:t>
      </w:r>
      <w:proofErr w:type="spellEnd"/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пневмонії ста</w:t>
      </w:r>
      <w:r w:rsidR="003F70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новить 1942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особи від планового річного показник 600 осіб. Показник виконано. Охоплено 100% ЛЖВ, які мали показання до профілактики.</w:t>
      </w:r>
    </w:p>
    <w:p w:rsidR="00EB34EF" w:rsidRPr="00754D05" w:rsidRDefault="00EB34EF" w:rsidP="00605E96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- кількість ЛЖВ, які отримали профіла</w:t>
      </w:r>
      <w:r w:rsidR="003F70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ктику </w:t>
      </w:r>
      <w:proofErr w:type="spellStart"/>
      <w:r w:rsidR="003F70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криптококозу</w:t>
      </w:r>
      <w:proofErr w:type="spellEnd"/>
      <w:r w:rsidR="003F70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становить 194 осо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б</w:t>
      </w:r>
      <w:r w:rsidR="003F70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и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від 36 осіб планового річного показника. </w:t>
      </w:r>
      <w:r w:rsidR="003F70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Показник виконаний.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Охоплено 100% ЛЖВ, які мали показання до профілактики.</w:t>
      </w:r>
    </w:p>
    <w:p w:rsidR="00EB34EF" w:rsidRPr="00754D05" w:rsidRDefault="00EB34EF" w:rsidP="00605E96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- кількість ЛЖВ, які отримали лікування опортун</w:t>
      </w:r>
      <w:r w:rsidR="003F70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істичних інфекцій становить 1</w:t>
      </w:r>
      <w:r w:rsidR="00F53CC2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</w:t>
      </w:r>
      <w:r w:rsidR="003F7005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309 (МБ)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осіб від планового річного показника 290 осіб. </w:t>
      </w:r>
      <w:r w:rsidR="00F53CC2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Показник виконаний</w:t>
      </w:r>
    </w:p>
    <w:p w:rsidR="00F53CC2" w:rsidRPr="00754D05" w:rsidRDefault="00EB34EF" w:rsidP="00F53CC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Показник 3.5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Забезпечення навчання та підвищення кваліфікації лікарів-інфекціоністів закладів охорони здоров’я вторинного рівня надання медичної допомоги з питань діагностики та лікування ВІЛ-інфекції/СНІДу</w:t>
      </w:r>
      <w:r w:rsidR="00605E96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. </w:t>
      </w:r>
      <w:r w:rsidR="00F53CC2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Кількість осіб, які пройшли навчання за звітний період становить 88 осіб. Річний показник, виконано. Навчання проводилось у рамках проекту </w:t>
      </w:r>
      <w:proofErr w:type="spellStart"/>
      <w:r w:rsidR="00F53CC2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Healthlink</w:t>
      </w:r>
      <w:proofErr w:type="spellEnd"/>
      <w:r w:rsidR="00F53CC2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</w:t>
      </w:r>
    </w:p>
    <w:p w:rsidR="00F53CC2" w:rsidRPr="00754D05" w:rsidRDefault="00F53CC2" w:rsidP="001C7F77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</w:p>
    <w:p w:rsidR="001C7F77" w:rsidRPr="00754D05" w:rsidRDefault="00F53CC2" w:rsidP="001C7F77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uk-UA"/>
        </w:rPr>
        <w:t>ОХО</w:t>
      </w:r>
      <w:r w:rsidR="001C7F77" w:rsidRPr="00754D05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uk-UA"/>
        </w:rPr>
        <w:t xml:space="preserve">ПЛЕННЯ ЛЮДЕЙ, ЯКІ ЖИВУТЬ З ВІЛ, </w:t>
      </w:r>
      <w:r w:rsidRPr="00754D05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uk-UA"/>
        </w:rPr>
        <w:t>АНТИРЕТРОВІРУСНОЮ ТЕРАПІЄЮ</w:t>
      </w:r>
    </w:p>
    <w:p w:rsidR="00605E96" w:rsidRPr="00754D05" w:rsidRDefault="00605E96" w:rsidP="001C7F77">
      <w:pPr>
        <w:ind w:firstLine="709"/>
        <w:contextualSpacing/>
        <w:rPr>
          <w:rFonts w:ascii="Times New Roman" w:hAnsi="Times New Roman" w:cs="Times New Roman"/>
          <w:sz w:val="27"/>
          <w:szCs w:val="27"/>
          <w:lang w:eastAsia="uk-UA"/>
        </w:rPr>
      </w:pPr>
      <w:r w:rsidRPr="00754D05">
        <w:rPr>
          <w:rFonts w:ascii="Times New Roman" w:hAnsi="Times New Roman" w:cs="Times New Roman"/>
          <w:b/>
          <w:i/>
          <w:sz w:val="27"/>
          <w:szCs w:val="27"/>
          <w:lang w:eastAsia="uk-UA"/>
        </w:rPr>
        <w:t xml:space="preserve">Показник 4.1. </w:t>
      </w:r>
      <w:r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Чисельність ЛЖВ, які перебувають під </w:t>
      </w:r>
      <w:proofErr w:type="spellStart"/>
      <w:r w:rsidRPr="00754D05">
        <w:rPr>
          <w:rFonts w:ascii="Times New Roman" w:hAnsi="Times New Roman" w:cs="Times New Roman"/>
          <w:sz w:val="27"/>
          <w:szCs w:val="27"/>
          <w:lang w:eastAsia="uk-UA"/>
        </w:rPr>
        <w:t>медичим</w:t>
      </w:r>
      <w:proofErr w:type="spellEnd"/>
      <w:r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 наглядом у місті Києві </w:t>
      </w:r>
      <w:r w:rsidR="00F53CC2" w:rsidRPr="00754D05">
        <w:rPr>
          <w:rFonts w:ascii="Times New Roman" w:hAnsi="Times New Roman" w:cs="Times New Roman"/>
          <w:sz w:val="27"/>
          <w:szCs w:val="27"/>
          <w:lang w:eastAsia="uk-UA"/>
        </w:rPr>
        <w:t>та отримують АРТ становить 12331 особи або 82,7</w:t>
      </w:r>
      <w:r w:rsidRPr="00754D05">
        <w:rPr>
          <w:rFonts w:ascii="Times New Roman" w:hAnsi="Times New Roman" w:cs="Times New Roman"/>
          <w:sz w:val="27"/>
          <w:szCs w:val="27"/>
          <w:lang w:eastAsia="uk-UA"/>
        </w:rPr>
        <w:t>% від планового річного показника 90%. Показник виконаний частково.</w:t>
      </w:r>
      <w:r w:rsidR="00F53CC2"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7046C6" w:rsidRPr="00754D05">
        <w:rPr>
          <w:rFonts w:ascii="Times New Roman" w:hAnsi="Times New Roman" w:cs="Times New Roman"/>
          <w:sz w:val="27"/>
          <w:szCs w:val="27"/>
          <w:lang w:eastAsia="uk-UA"/>
        </w:rPr>
        <w:t>С</w:t>
      </w:r>
      <w:r w:rsidR="00F53CC2" w:rsidRPr="00754D05">
        <w:rPr>
          <w:rFonts w:ascii="Times New Roman" w:hAnsi="Times New Roman" w:cs="Times New Roman"/>
          <w:sz w:val="27"/>
          <w:szCs w:val="27"/>
          <w:lang w:eastAsia="uk-UA"/>
        </w:rPr>
        <w:t>таном на 01.10</w:t>
      </w:r>
      <w:r w:rsidR="007046C6" w:rsidRPr="00754D05">
        <w:rPr>
          <w:rFonts w:ascii="Times New Roman" w:hAnsi="Times New Roman" w:cs="Times New Roman"/>
          <w:sz w:val="27"/>
          <w:szCs w:val="27"/>
          <w:lang w:eastAsia="uk-UA"/>
        </w:rPr>
        <w:t>.2020 року кількість сайтів в</w:t>
      </w:r>
      <w:r w:rsidR="00D44395" w:rsidRPr="00754D05">
        <w:rPr>
          <w:rFonts w:ascii="Times New Roman" w:hAnsi="Times New Roman" w:cs="Times New Roman"/>
          <w:sz w:val="27"/>
          <w:szCs w:val="27"/>
          <w:lang w:eastAsia="uk-UA"/>
        </w:rPr>
        <w:t>идачі АРТ –</w:t>
      </w:r>
      <w:r w:rsidR="00682F47"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 40. </w:t>
      </w:r>
      <w:r w:rsidR="002A6CC6"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Для оптимізації процесу надання ЛЖВ доступної і якісної допомоги у зв’язку із ВІЛ реалізовано низку заходів, спрямованих на наближення населенню послуг з лікування ВІЛ/СНІДу шляхом запровадження такої допомоги у ЗОЗ м. Києва, зокрема споживачі ін’єкційних наркотиків (СІН) мають змогу </w:t>
      </w:r>
      <w:r w:rsidR="002D184C" w:rsidRPr="00754D05">
        <w:rPr>
          <w:rFonts w:ascii="Times New Roman" w:hAnsi="Times New Roman" w:cs="Times New Roman"/>
          <w:sz w:val="27"/>
          <w:szCs w:val="27"/>
          <w:lang w:eastAsia="uk-UA"/>
        </w:rPr>
        <w:t>о</w:t>
      </w:r>
      <w:r w:rsidR="002A6CC6"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тримувати лікування ВІЛ на базі </w:t>
      </w:r>
      <w:r w:rsidR="002D184C"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 КМНЛ «Соціотерапія» та на базі кабінету видачі ЗПТ КМЦ СНІДу</w:t>
      </w:r>
      <w:r w:rsidR="00731F1E"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, </w:t>
      </w:r>
      <w:r w:rsidR="002D184C" w:rsidRPr="00754D05">
        <w:rPr>
          <w:rFonts w:ascii="Times New Roman" w:hAnsi="Times New Roman" w:cs="Times New Roman"/>
          <w:sz w:val="27"/>
          <w:szCs w:val="27"/>
          <w:lang w:eastAsia="uk-UA"/>
        </w:rPr>
        <w:t>ЛЖВ, які хворіють ВІЛ/ТБ мають змогу отримувати лікування на базі КМТЛ№2.</w:t>
      </w:r>
      <w:r w:rsidR="002A6CC6"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Pr="00754D05">
        <w:rPr>
          <w:rFonts w:ascii="Times New Roman" w:hAnsi="Times New Roman" w:cs="Times New Roman"/>
          <w:b/>
          <w:sz w:val="27"/>
          <w:szCs w:val="27"/>
          <w:lang w:eastAsia="uk-UA"/>
        </w:rPr>
        <w:t xml:space="preserve"> </w:t>
      </w:r>
      <w:r w:rsidR="002D184C" w:rsidRPr="00754D05">
        <w:rPr>
          <w:rFonts w:ascii="Times New Roman" w:hAnsi="Times New Roman" w:cs="Times New Roman"/>
          <w:sz w:val="27"/>
          <w:szCs w:val="27"/>
          <w:lang w:eastAsia="uk-UA"/>
        </w:rPr>
        <w:t>У середньому у кожному районі м. Києва є 3-4 пункти видачі АРТ  терапії.</w:t>
      </w:r>
      <w:r w:rsidR="002A6CC6"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</w:p>
    <w:p w:rsidR="004C3A85" w:rsidRPr="00754D05" w:rsidRDefault="004C3A85" w:rsidP="00F53CC2">
      <w:pPr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754D05">
        <w:rPr>
          <w:rFonts w:ascii="Times New Roman" w:hAnsi="Times New Roman" w:cs="Times New Roman"/>
          <w:b/>
          <w:i/>
          <w:sz w:val="27"/>
          <w:szCs w:val="27"/>
          <w:lang w:eastAsia="uk-UA"/>
        </w:rPr>
        <w:t xml:space="preserve">Показник 4.1.2 </w:t>
      </w:r>
      <w:r w:rsidRPr="00754D05">
        <w:rPr>
          <w:rFonts w:ascii="Times New Roman" w:hAnsi="Times New Roman" w:cs="Times New Roman"/>
          <w:sz w:val="27"/>
          <w:szCs w:val="27"/>
          <w:lang w:eastAsia="uk-UA"/>
        </w:rPr>
        <w:t>Число ЛЖВ, яким було призначено базові схеми АРТ за місцем проживання</w:t>
      </w:r>
      <w:r w:rsidR="00F53CC2"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 становить 160 особа</w:t>
      </w:r>
      <w:r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. Базові схеми лікування призначено 100% осіб, </w:t>
      </w:r>
      <w:r w:rsidRPr="00754D05">
        <w:rPr>
          <w:rFonts w:ascii="Times New Roman" w:hAnsi="Times New Roman" w:cs="Times New Roman"/>
          <w:sz w:val="27"/>
          <w:szCs w:val="27"/>
          <w:lang w:eastAsia="uk-UA"/>
        </w:rPr>
        <w:lastRenderedPageBreak/>
        <w:t>яких було взято під медичне спостереження лікарем інфекціоністом за місцем проживання. Показник виконаний частково від планового річного показника</w:t>
      </w:r>
      <w:r w:rsidR="00F53CC2"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 і становить 8,8%</w:t>
      </w:r>
      <w:r w:rsidRPr="00754D05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:rsidR="00682F47" w:rsidRPr="00754D05" w:rsidRDefault="00605E96" w:rsidP="00F53CC2">
      <w:pPr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754D05">
        <w:rPr>
          <w:rFonts w:ascii="Times New Roman" w:hAnsi="Times New Roman" w:cs="Times New Roman"/>
          <w:b/>
          <w:i/>
          <w:sz w:val="27"/>
          <w:szCs w:val="27"/>
          <w:lang w:eastAsia="uk-UA"/>
        </w:rPr>
        <w:t xml:space="preserve">Показник 4.1.3 </w:t>
      </w:r>
      <w:r w:rsidR="004C3A85" w:rsidRPr="00754D05">
        <w:rPr>
          <w:rFonts w:ascii="Times New Roman" w:hAnsi="Times New Roman" w:cs="Times New Roman"/>
          <w:sz w:val="27"/>
          <w:szCs w:val="27"/>
          <w:lang w:eastAsia="uk-UA"/>
        </w:rPr>
        <w:t>Ч</w:t>
      </w:r>
      <w:r w:rsidRPr="00754D05">
        <w:rPr>
          <w:rFonts w:ascii="Times New Roman" w:hAnsi="Times New Roman" w:cs="Times New Roman"/>
          <w:sz w:val="27"/>
          <w:szCs w:val="27"/>
          <w:lang w:eastAsia="uk-UA"/>
        </w:rPr>
        <w:t>исло ЛЖВ, які отр</w:t>
      </w:r>
      <w:r w:rsidR="004C3A85" w:rsidRPr="00754D05">
        <w:rPr>
          <w:rFonts w:ascii="Times New Roman" w:hAnsi="Times New Roman" w:cs="Times New Roman"/>
          <w:sz w:val="27"/>
          <w:szCs w:val="27"/>
          <w:lang w:eastAsia="uk-UA"/>
        </w:rPr>
        <w:t>имують АРТ за місцем проживання становить 3</w:t>
      </w:r>
      <w:r w:rsidR="00F53CC2" w:rsidRPr="00754D05">
        <w:rPr>
          <w:rFonts w:ascii="Times New Roman" w:hAnsi="Times New Roman" w:cs="Times New Roman"/>
          <w:sz w:val="27"/>
          <w:szCs w:val="27"/>
          <w:lang w:eastAsia="uk-UA"/>
        </w:rPr>
        <w:t>405</w:t>
      </w:r>
      <w:r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 осіб</w:t>
      </w:r>
      <w:r w:rsidR="00F53CC2"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 (27,06</w:t>
      </w:r>
      <w:r w:rsidR="004C3A85"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2A6CC6" w:rsidRPr="00754D05">
        <w:rPr>
          <w:rFonts w:ascii="Times New Roman" w:hAnsi="Times New Roman" w:cs="Times New Roman"/>
          <w:sz w:val="27"/>
          <w:szCs w:val="27"/>
          <w:lang w:eastAsia="uk-UA"/>
        </w:rPr>
        <w:t>%)</w:t>
      </w:r>
      <w:r w:rsidR="00F53CC2" w:rsidRPr="00754D05">
        <w:rPr>
          <w:rFonts w:ascii="Times New Roman" w:hAnsi="Times New Roman" w:cs="Times New Roman"/>
          <w:sz w:val="27"/>
          <w:szCs w:val="27"/>
          <w:lang w:eastAsia="uk-UA"/>
        </w:rPr>
        <w:t>. Показник включає кількість осіб, які отримують препарати у КІЗ та "КП Фармація"</w:t>
      </w:r>
    </w:p>
    <w:p w:rsidR="004C3A85" w:rsidRPr="00754D05" w:rsidRDefault="004C3A85" w:rsidP="00F53CC2">
      <w:pPr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754D05">
        <w:rPr>
          <w:rFonts w:ascii="Times New Roman" w:hAnsi="Times New Roman" w:cs="Times New Roman"/>
          <w:b/>
          <w:i/>
          <w:sz w:val="27"/>
          <w:szCs w:val="27"/>
          <w:lang w:eastAsia="uk-UA"/>
        </w:rPr>
        <w:t xml:space="preserve">Показник 4.2 </w:t>
      </w:r>
      <w:r w:rsidRPr="00754D05">
        <w:rPr>
          <w:rFonts w:ascii="Times New Roman" w:hAnsi="Times New Roman" w:cs="Times New Roman"/>
          <w:sz w:val="27"/>
          <w:szCs w:val="27"/>
          <w:lang w:eastAsia="uk-UA"/>
        </w:rPr>
        <w:t>Покращення матеріально-технічної бази кабінетів інфекційних захворювань (</w:t>
      </w:r>
      <w:proofErr w:type="spellStart"/>
      <w:r w:rsidRPr="00754D05">
        <w:rPr>
          <w:rFonts w:ascii="Times New Roman" w:hAnsi="Times New Roman" w:cs="Times New Roman"/>
          <w:sz w:val="27"/>
          <w:szCs w:val="27"/>
          <w:lang w:eastAsia="uk-UA"/>
        </w:rPr>
        <w:t>КіЗ</w:t>
      </w:r>
      <w:proofErr w:type="spellEnd"/>
      <w:r w:rsidRPr="00754D05">
        <w:rPr>
          <w:rFonts w:ascii="Times New Roman" w:hAnsi="Times New Roman" w:cs="Times New Roman"/>
          <w:sz w:val="27"/>
          <w:szCs w:val="27"/>
          <w:lang w:eastAsia="uk-UA"/>
        </w:rPr>
        <w:t>). Модернізація та оснащення робочого місця у КІЗ було реалізовано впродовж 2017-2018 років. Показник виконаний</w:t>
      </w:r>
    </w:p>
    <w:p w:rsidR="00682F47" w:rsidRPr="00754D05" w:rsidRDefault="004C3A85" w:rsidP="00F53CC2">
      <w:pPr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754D05">
        <w:rPr>
          <w:rFonts w:ascii="Times New Roman" w:hAnsi="Times New Roman" w:cs="Times New Roman"/>
          <w:b/>
          <w:i/>
          <w:sz w:val="27"/>
          <w:szCs w:val="27"/>
          <w:lang w:eastAsia="uk-UA"/>
        </w:rPr>
        <w:t xml:space="preserve">Показник 4.3 </w:t>
      </w:r>
      <w:r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Оптимізація процесу видачі </w:t>
      </w:r>
      <w:proofErr w:type="spellStart"/>
      <w:r w:rsidRPr="00754D05">
        <w:rPr>
          <w:rFonts w:ascii="Times New Roman" w:hAnsi="Times New Roman" w:cs="Times New Roman"/>
          <w:sz w:val="27"/>
          <w:szCs w:val="27"/>
          <w:lang w:eastAsia="uk-UA"/>
        </w:rPr>
        <w:t>антиретровірусних</w:t>
      </w:r>
      <w:proofErr w:type="spellEnd"/>
      <w:r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 препаратів шляхом запровадження рецептурної безкоштовної видачі ЛЖВ </w:t>
      </w:r>
      <w:proofErr w:type="spellStart"/>
      <w:r w:rsidRPr="00754D05">
        <w:rPr>
          <w:rFonts w:ascii="Times New Roman" w:hAnsi="Times New Roman" w:cs="Times New Roman"/>
          <w:sz w:val="27"/>
          <w:szCs w:val="27"/>
          <w:lang w:eastAsia="uk-UA"/>
        </w:rPr>
        <w:t>антиретровірусних</w:t>
      </w:r>
      <w:proofErr w:type="spellEnd"/>
      <w:r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 препаратів через аптечну мережу. </w:t>
      </w:r>
      <w:r w:rsidR="00682F47"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100% охоплено аптечних закладів КП "Фармація" для видачі АРВ препаратів. З </w:t>
      </w:r>
      <w:r w:rsidRPr="00754D05">
        <w:rPr>
          <w:rFonts w:ascii="Times New Roman" w:hAnsi="Times New Roman" w:cs="Times New Roman"/>
          <w:sz w:val="27"/>
          <w:szCs w:val="27"/>
          <w:lang w:eastAsia="uk-UA"/>
        </w:rPr>
        <w:t>числа усі</w:t>
      </w:r>
      <w:r w:rsidR="00F53CC2" w:rsidRPr="00754D05">
        <w:rPr>
          <w:rFonts w:ascii="Times New Roman" w:hAnsi="Times New Roman" w:cs="Times New Roman"/>
          <w:sz w:val="27"/>
          <w:szCs w:val="27"/>
          <w:lang w:eastAsia="uk-UA"/>
        </w:rPr>
        <w:t>х пацієнтів на АРТ 11,9 % (1 468</w:t>
      </w:r>
      <w:r w:rsidR="00682F47"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 особи) отримують пре</w:t>
      </w:r>
      <w:r w:rsidR="00F53CC2" w:rsidRPr="00754D05">
        <w:rPr>
          <w:rFonts w:ascii="Times New Roman" w:hAnsi="Times New Roman" w:cs="Times New Roman"/>
          <w:sz w:val="27"/>
          <w:szCs w:val="27"/>
          <w:lang w:eastAsia="uk-UA"/>
        </w:rPr>
        <w:t>парати за місцем проживання у 13</w:t>
      </w:r>
      <w:r w:rsidR="00682F47"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 аптеках КП «Фа</w:t>
      </w:r>
      <w:r w:rsidR="00487325" w:rsidRPr="00754D05">
        <w:rPr>
          <w:rFonts w:ascii="Times New Roman" w:hAnsi="Times New Roman" w:cs="Times New Roman"/>
          <w:sz w:val="27"/>
          <w:szCs w:val="27"/>
          <w:lang w:eastAsia="uk-UA"/>
        </w:rPr>
        <w:t>рмація». Охоплено 100% ЛЖВ</w:t>
      </w:r>
      <w:r w:rsidR="00682F47"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, </w:t>
      </w:r>
      <w:r w:rsidR="00487325"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з безсимптомним носійством ВІЛ, </w:t>
      </w:r>
      <w:r w:rsidR="00682F47" w:rsidRPr="00754D05">
        <w:rPr>
          <w:rFonts w:ascii="Times New Roman" w:hAnsi="Times New Roman" w:cs="Times New Roman"/>
          <w:sz w:val="27"/>
          <w:szCs w:val="27"/>
          <w:lang w:eastAsia="uk-UA"/>
        </w:rPr>
        <w:t>які виявили бажання отримувати АРТ препарати через аптечну мережу</w:t>
      </w:r>
      <w:r w:rsidR="00487325"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 КП «Фармація» за місцем вибору</w:t>
      </w:r>
      <w:r w:rsidR="00682F47" w:rsidRPr="00754D05">
        <w:rPr>
          <w:rFonts w:ascii="Times New Roman" w:hAnsi="Times New Roman" w:cs="Times New Roman"/>
          <w:sz w:val="27"/>
          <w:szCs w:val="27"/>
          <w:lang w:eastAsia="uk-UA"/>
        </w:rPr>
        <w:t>.</w:t>
      </w:r>
      <w:r w:rsidR="00487325"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</w:p>
    <w:p w:rsidR="00487325" w:rsidRPr="00754D05" w:rsidRDefault="00487325" w:rsidP="00F53CC2">
      <w:pPr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754D05">
        <w:rPr>
          <w:rFonts w:ascii="Times New Roman" w:hAnsi="Times New Roman" w:cs="Times New Roman"/>
          <w:b/>
          <w:i/>
          <w:sz w:val="27"/>
          <w:szCs w:val="27"/>
          <w:lang w:eastAsia="uk-UA"/>
        </w:rPr>
        <w:t xml:space="preserve">Показник 4.4 </w:t>
      </w:r>
      <w:r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Забезпечення соціального супроводу ЛЖВ силами НУО та Київського міського центру соціальних служб для дітей, сім’ї і молоді для отримання АРТ. Кількість ЛЖВ, які отримують соціальний супровід протягом </w:t>
      </w:r>
      <w:r w:rsidR="00646708" w:rsidRPr="00754D05">
        <w:rPr>
          <w:rFonts w:ascii="Times New Roman" w:hAnsi="Times New Roman" w:cs="Times New Roman"/>
          <w:sz w:val="27"/>
          <w:szCs w:val="27"/>
          <w:lang w:eastAsia="uk-UA"/>
        </w:rPr>
        <w:t>звітного періоду становить 11714</w:t>
      </w:r>
      <w:r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 осіб. Пок</w:t>
      </w:r>
      <w:r w:rsidR="00646708" w:rsidRPr="00754D05">
        <w:rPr>
          <w:rFonts w:ascii="Times New Roman" w:hAnsi="Times New Roman" w:cs="Times New Roman"/>
          <w:sz w:val="27"/>
          <w:szCs w:val="27"/>
          <w:lang w:eastAsia="uk-UA"/>
        </w:rPr>
        <w:t>азник виконаний і становить 78,6</w:t>
      </w:r>
      <w:r w:rsidRPr="00754D05">
        <w:rPr>
          <w:rFonts w:ascii="Times New Roman" w:hAnsi="Times New Roman" w:cs="Times New Roman"/>
          <w:sz w:val="27"/>
          <w:szCs w:val="27"/>
          <w:lang w:eastAsia="uk-UA"/>
        </w:rPr>
        <w:t>% від планового річного показника 60%</w:t>
      </w:r>
      <w:r w:rsidR="004E55A8" w:rsidRPr="00754D05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:rsidR="004E55A8" w:rsidRPr="00754D05" w:rsidRDefault="004E55A8" w:rsidP="00F53CC2">
      <w:pPr>
        <w:jc w:val="both"/>
        <w:rPr>
          <w:rFonts w:ascii="Times New Roman" w:hAnsi="Times New Roman" w:cs="Times New Roman"/>
          <w:sz w:val="27"/>
          <w:szCs w:val="27"/>
          <w:lang w:eastAsia="uk-UA"/>
        </w:rPr>
      </w:pPr>
    </w:p>
    <w:p w:rsidR="00646708" w:rsidRPr="00754D05" w:rsidRDefault="00646708" w:rsidP="001C7F77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7"/>
          <w:szCs w:val="27"/>
          <w:lang w:eastAsia="uk-UA"/>
        </w:rPr>
      </w:pPr>
      <w:r w:rsidRPr="00754D05">
        <w:rPr>
          <w:rFonts w:ascii="Times New Roman" w:hAnsi="Times New Roman" w:cs="Times New Roman"/>
          <w:b/>
          <w:sz w:val="27"/>
          <w:szCs w:val="27"/>
          <w:lang w:eastAsia="uk-UA"/>
        </w:rPr>
        <w:t>ДОСЯГНЕННЯ ВИСОКОЇ ЕФЕКТИВНОСТІ ЛІКУВАННЯ  У ЛЮДЕЙ, ЯКІ ЖИВУТЬ З ВІЛ ТА ОТРИМУЮТЬ АНТИРЕТРОВІРУСНУ ТЕРАПІЮ.</w:t>
      </w:r>
    </w:p>
    <w:p w:rsidR="00B8189A" w:rsidRPr="00754D05" w:rsidRDefault="00487325" w:rsidP="00646708">
      <w:pPr>
        <w:jc w:val="both"/>
        <w:rPr>
          <w:rFonts w:ascii="Times New Roman" w:hAnsi="Times New Roman" w:cs="Times New Roman"/>
          <w:b/>
          <w:sz w:val="27"/>
          <w:szCs w:val="27"/>
          <w:lang w:eastAsia="uk-UA"/>
        </w:rPr>
      </w:pPr>
      <w:r w:rsidRPr="00754D05">
        <w:rPr>
          <w:rFonts w:ascii="Times New Roman" w:hAnsi="Times New Roman" w:cs="Times New Roman"/>
          <w:b/>
          <w:sz w:val="27"/>
          <w:szCs w:val="27"/>
          <w:lang w:eastAsia="uk-UA"/>
        </w:rPr>
        <w:t xml:space="preserve">Визначення вірусного навантаження здійснюється за кошти Державного бюджету (централізовані поставки 2018-2019рр).  </w:t>
      </w:r>
    </w:p>
    <w:p w:rsidR="00487325" w:rsidRPr="00754D05" w:rsidRDefault="00B8189A" w:rsidP="00646708">
      <w:pPr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754D05">
        <w:rPr>
          <w:rFonts w:ascii="Times New Roman" w:hAnsi="Times New Roman" w:cs="Times New Roman"/>
          <w:b/>
          <w:i/>
          <w:sz w:val="27"/>
          <w:szCs w:val="27"/>
          <w:lang w:eastAsia="uk-UA"/>
        </w:rPr>
        <w:t xml:space="preserve">Показник 5.1.1 </w:t>
      </w:r>
      <w:r w:rsidR="00487325" w:rsidRPr="00754D05">
        <w:rPr>
          <w:rFonts w:ascii="Times New Roman" w:hAnsi="Times New Roman" w:cs="Times New Roman"/>
          <w:sz w:val="27"/>
          <w:szCs w:val="27"/>
          <w:lang w:eastAsia="uk-UA"/>
        </w:rPr>
        <w:t>Чисельність ЛЖВ, у яких визначено рівень вірусного навант</w:t>
      </w:r>
      <w:r w:rsidR="00646708" w:rsidRPr="00754D05">
        <w:rPr>
          <w:rFonts w:ascii="Times New Roman" w:hAnsi="Times New Roman" w:cs="Times New Roman"/>
          <w:sz w:val="27"/>
          <w:szCs w:val="27"/>
          <w:lang w:eastAsia="uk-UA"/>
        </w:rPr>
        <w:t>аження (ДБ) становить 12 321</w:t>
      </w:r>
      <w:r w:rsidR="00487325" w:rsidRPr="00754D05">
        <w:rPr>
          <w:rFonts w:ascii="Times New Roman" w:hAnsi="Times New Roman" w:cs="Times New Roman"/>
          <w:sz w:val="27"/>
          <w:szCs w:val="27"/>
          <w:lang w:eastAsia="uk-UA"/>
        </w:rPr>
        <w:t xml:space="preserve"> особа.</w:t>
      </w:r>
      <w:r w:rsidRPr="00754D05">
        <w:rPr>
          <w:rFonts w:ascii="Times New Roman" w:hAnsi="Times New Roman" w:cs="Times New Roman"/>
          <w:sz w:val="27"/>
          <w:szCs w:val="27"/>
        </w:rPr>
        <w:t xml:space="preserve"> </w:t>
      </w:r>
      <w:r w:rsidRPr="00754D05">
        <w:rPr>
          <w:rFonts w:ascii="Times New Roman" w:hAnsi="Times New Roman" w:cs="Times New Roman"/>
          <w:sz w:val="27"/>
          <w:szCs w:val="27"/>
          <w:lang w:eastAsia="uk-UA"/>
        </w:rPr>
        <w:t>Охоплено 100% ЛЖВ, які мали показання до обстеження. Показник виконано частково, що становить 48,4% від планового річного показника.</w:t>
      </w:r>
    </w:p>
    <w:p w:rsidR="00B8189A" w:rsidRPr="00754D05" w:rsidRDefault="00B8189A" w:rsidP="00646708">
      <w:pPr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Показник 5.1.2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чисельність ЛЖВ, у яких визначено рівен</w:t>
      </w:r>
      <w:r w:rsidR="00646708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ь CD4 становить 11090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осіб.</w:t>
      </w:r>
      <w:r w:rsidRPr="00754D05">
        <w:rPr>
          <w:rFonts w:ascii="Times New Roman" w:hAnsi="Times New Roman" w:cs="Times New Roman"/>
          <w:sz w:val="27"/>
          <w:szCs w:val="27"/>
        </w:rPr>
        <w:t xml:space="preserve">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Показник </w:t>
      </w:r>
      <w:r w:rsidR="00646708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виконано частково і становить 55,4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% від планового річного показника. Охоплено 100% ЛЖВ, які мали показання до проведення визначення СД4.</w:t>
      </w:r>
    </w:p>
    <w:p w:rsidR="00B8189A" w:rsidRPr="00754D05" w:rsidRDefault="00B8189A" w:rsidP="00646708">
      <w:pPr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Показник 5.1.3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чисельність ЛЖВ, яким проведено гема</w:t>
      </w:r>
      <w:r w:rsidR="00646708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тологічні дослідження ставить 15048 осіб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. Показник </w:t>
      </w:r>
      <w:r w:rsidR="00646708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виконано частково і становить 33,6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% від планового річного показника. Охоплено 100% ЛЖВ, які мали показання до проведення гематологічних досліджень</w:t>
      </w:r>
    </w:p>
    <w:p w:rsidR="00B8189A" w:rsidRPr="00754D05" w:rsidRDefault="00B8189A" w:rsidP="00646708">
      <w:pPr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lastRenderedPageBreak/>
        <w:t xml:space="preserve">Показник 5.1.4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чисельність ЛЖВ, яким проведено біохімічні </w:t>
      </w:r>
      <w:r w:rsidR="00646708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дослідження крові становить 15312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осіб. Показник ви</w:t>
      </w:r>
      <w:r w:rsidR="00646708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конано частково і становить 34,2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% від планового річного показника. Охоплено 100% ЛЖВ, які мали показання до проведення біохімічних досліджень</w:t>
      </w:r>
    </w:p>
    <w:p w:rsidR="00B8189A" w:rsidRPr="00754D05" w:rsidRDefault="00B8189A" w:rsidP="00646708">
      <w:pPr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Показник 5.1.5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Діагностика опортуністичних інфекцій при прогресуючій ВІЛ-інфекції. Чисельність ЛЖВ, які охоплені діагностикою опортуністичних інфекцій при прогресу</w:t>
      </w:r>
      <w:r w:rsidR="00646708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ючій ВІЛ-інфекції становить 2871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особи. Плановий річний показник виконано.</w:t>
      </w:r>
      <w:r w:rsidR="00ED390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Частка ЛЖВ, у яких досягнуто невизначеного рівня вірусного навантаження (&lt; 40 РНК копій/мл) станови</w:t>
      </w:r>
      <w:r w:rsidR="00646708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ть 95</w:t>
      </w:r>
      <w:r w:rsidR="00ED390B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%. Плановий річний показник 90% виконаний.</w:t>
      </w:r>
    </w:p>
    <w:p w:rsidR="00B8189A" w:rsidRPr="00754D05" w:rsidRDefault="00ED390B" w:rsidP="00646708">
      <w:pPr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 xml:space="preserve">Показник 5.2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Здійснення соціального супроводу  ЛЖВ,  груп підвищеного ризику. Кількість ЛЖВ з числа нових випадків серед осіб груп підвищеного ризику щодо інфікування ВІЛ, які охоплені соціальним супроводом для досягнення п</w:t>
      </w:r>
      <w:r w:rsidR="00646708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рихильності до АРТ становить 1084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особи.</w:t>
      </w:r>
      <w:r w:rsidR="00646708"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 xml:space="preserve"> Охоплено 100% ЛЖВ.</w:t>
      </w:r>
      <w:r w:rsidRPr="00754D0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C7F77" w:rsidRPr="00754D05" w:rsidRDefault="00ED390B" w:rsidP="00646708">
      <w:pPr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>Показник 5.3.</w:t>
      </w:r>
      <w:r w:rsidRPr="00754D05">
        <w:rPr>
          <w:rFonts w:ascii="Times New Roman" w:hAnsi="Times New Roman" w:cs="Times New Roman"/>
          <w:sz w:val="27"/>
          <w:szCs w:val="27"/>
        </w:rPr>
        <w:t xml:space="preserve"> </w:t>
      </w:r>
      <w:r w:rsidRPr="00754D05"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  <w:t>Розвиток людських ресурсів: Забезпечення підвищення кваліфікації медичних працівників, залучених до надання медичної допомоги ЛЖВ, шляхом стажування у провідних практиках міжнародних партнерів. Показник не виконаний із-за введення карантинних заходів</w:t>
      </w:r>
      <w:r w:rsidR="0076000E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</w:t>
      </w:r>
    </w:p>
    <w:p w:rsidR="0076000E" w:rsidRPr="00754D05" w:rsidRDefault="0076000E" w:rsidP="00646708">
      <w:pPr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   </w:t>
      </w:r>
    </w:p>
    <w:p w:rsidR="0076000E" w:rsidRPr="00754D05" w:rsidRDefault="0076000E" w:rsidP="0064670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Реалізація Програми за стратегією Fast-Track </w:t>
      </w:r>
      <w:proofErr w:type="spellStart"/>
      <w:r w:rsidRPr="00754D0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Cities</w:t>
      </w:r>
      <w:proofErr w:type="spellEnd"/>
      <w:r w:rsidRPr="00754D0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у місті Києві </w:t>
      </w:r>
      <w:r w:rsidRPr="00754D0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ab/>
      </w:r>
    </w:p>
    <w:p w:rsidR="00731F1E" w:rsidRPr="00754D05" w:rsidRDefault="00ED390B" w:rsidP="00551B76">
      <w:pPr>
        <w:spacing w:after="0" w:line="240" w:lineRule="auto"/>
        <w:ind w:left="141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Впродовж зв</w:t>
      </w:r>
      <w:r w:rsidR="001436A5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ітного періоду було розроблено 4</w:t>
      </w:r>
      <w:r w:rsidR="00551B76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нормативних документи,</w:t>
      </w:r>
      <w:r w:rsidR="009B7D00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які були </w:t>
      </w:r>
      <w:proofErr w:type="spellStart"/>
      <w:r w:rsidR="009B7D00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були</w:t>
      </w:r>
      <w:proofErr w:type="spellEnd"/>
      <w:r w:rsidR="009B7D00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прийняті до виконання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</w:p>
    <w:p w:rsidR="00731F1E" w:rsidRPr="00754D05" w:rsidRDefault="00731F1E" w:rsidP="00646708">
      <w:pPr>
        <w:pStyle w:val="a5"/>
        <w:spacing w:after="0" w:line="240" w:lineRule="auto"/>
        <w:ind w:left="50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0E5F04" w:rsidRPr="00754D05" w:rsidRDefault="000E5F04" w:rsidP="00646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Вико</w:t>
      </w:r>
      <w:r w:rsidR="001436A5" w:rsidRPr="00754D0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нання індикаторів</w:t>
      </w:r>
      <w:r w:rsidRPr="00754D0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станом на 01.07.2020 року</w:t>
      </w:r>
    </w:p>
    <w:p w:rsidR="000E5F04" w:rsidRPr="00754D05" w:rsidRDefault="000E5F04" w:rsidP="0064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0E5F04" w:rsidRPr="00754D05" w:rsidRDefault="00646708" w:rsidP="00646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Станом на 01.10</w:t>
      </w:r>
      <w:r w:rsidR="000E5F04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.2020 року перебувають під медични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м наглядом у місті Києві  14 910 ЛЖВ (з </w:t>
      </w:r>
      <w:r w:rsidR="000E5F04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урахування 942 пацієнтів (мешканців м. Києва), що спостерігаються в ДУ «Інститут епідеміології та інфекційних хвороб ім. Л.В. </w:t>
      </w:r>
      <w:proofErr w:type="spellStart"/>
      <w:r w:rsidR="000E5F04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Громашевського</w:t>
      </w:r>
      <w:proofErr w:type="spellEnd"/>
      <w:r w:rsidR="000E5F04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НАМН України»). Протягом 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звітного періоду</w:t>
      </w:r>
      <w:r w:rsidR="000E5F04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2020 рок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у  взято під медичний нагляд 1224</w:t>
      </w:r>
      <w:r w:rsidR="000E5F04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ВІЛ-позитивних осіб, з них: з вперше встановленим ді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агнозом ВІЛ-інфекції – 979</w:t>
      </w:r>
      <w:r w:rsidR="00D85F71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осіб.</w:t>
      </w:r>
    </w:p>
    <w:p w:rsidR="000E5F04" w:rsidRPr="00754D05" w:rsidRDefault="000E5F04" w:rsidP="00646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D05">
        <w:rPr>
          <w:rFonts w:ascii="Times New Roman" w:hAnsi="Times New Roman" w:cs="Times New Roman"/>
          <w:b/>
          <w:sz w:val="27"/>
          <w:szCs w:val="27"/>
        </w:rPr>
        <w:t>Станом</w:t>
      </w:r>
      <w:r w:rsidR="00646708" w:rsidRPr="00754D05">
        <w:rPr>
          <w:rFonts w:ascii="Times New Roman" w:hAnsi="Times New Roman" w:cs="Times New Roman"/>
          <w:b/>
          <w:sz w:val="27"/>
          <w:szCs w:val="27"/>
        </w:rPr>
        <w:t xml:space="preserve"> на 01.10</w:t>
      </w:r>
      <w:r w:rsidRPr="00754D05">
        <w:rPr>
          <w:rFonts w:ascii="Times New Roman" w:hAnsi="Times New Roman" w:cs="Times New Roman"/>
          <w:b/>
          <w:sz w:val="27"/>
          <w:szCs w:val="27"/>
        </w:rPr>
        <w:t>.2020 року перший цільовий показник «90» (90% людей, які живуть з ВІЛ, знають свій ВІЛ-с</w:t>
      </w:r>
      <w:r w:rsidR="00646708" w:rsidRPr="00754D05">
        <w:rPr>
          <w:rFonts w:ascii="Times New Roman" w:hAnsi="Times New Roman" w:cs="Times New Roman"/>
          <w:b/>
          <w:sz w:val="27"/>
          <w:szCs w:val="27"/>
        </w:rPr>
        <w:t>татус) збільшився і становить 75,2% (14 910</w:t>
      </w:r>
      <w:r w:rsidRPr="00754D05">
        <w:rPr>
          <w:rFonts w:ascii="Times New Roman" w:hAnsi="Times New Roman" w:cs="Times New Roman"/>
          <w:b/>
          <w:sz w:val="27"/>
          <w:szCs w:val="27"/>
        </w:rPr>
        <w:t xml:space="preserve"> осіб від оціночної чисельності 19 837 людини).</w:t>
      </w:r>
      <w:r w:rsidR="00D85F71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Цільовий показник на кінець 2020 року – 86,5 %</w:t>
      </w:r>
    </w:p>
    <w:p w:rsidR="000E5F04" w:rsidRPr="00754D05" w:rsidRDefault="000E5F04" w:rsidP="00646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Отримують </w:t>
      </w:r>
      <w:proofErr w:type="spellStart"/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антиретровірус</w:t>
      </w:r>
      <w:r w:rsidR="004D6E10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ну</w:t>
      </w:r>
      <w:proofErr w:type="spellEnd"/>
      <w:r w:rsidR="004D6E10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терапію 12 331</w:t>
      </w:r>
      <w:r w:rsidR="00D85F71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людей з ВІЛ (з 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урахування 942 пацієнтів (мешканців м. Києва), що спостерігаються в ДУ «Інститут епідеміології та інфекційних хвороб ім. Л.В. </w:t>
      </w:r>
      <w:proofErr w:type="spellStart"/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Громашевського</w:t>
      </w:r>
      <w:proofErr w:type="spellEnd"/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НАМН України</w:t>
      </w:r>
      <w:r w:rsidR="00D85F71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За </w:t>
      </w:r>
      <w:r w:rsidR="004D6E10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звітний період 2020 року АРТ призначено 1154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пацієнтам, з них вперше отримали лікува</w:t>
      </w:r>
      <w:r w:rsidR="004D6E10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ння 1032 осо</w:t>
      </w:r>
      <w:r w:rsidR="00D85F71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б</w:t>
      </w:r>
      <w:r w:rsidR="004D6E10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и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</w:t>
      </w:r>
    </w:p>
    <w:p w:rsidR="004D6E10" w:rsidRPr="00754D05" w:rsidRDefault="000E5F04" w:rsidP="00646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За місцем проживання спостеріг</w:t>
      </w:r>
      <w:r w:rsidR="004D6E10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аються у інфекціоністів КІЗ 1937 осіб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.  З числа у</w:t>
      </w:r>
      <w:r w:rsidR="004D6E10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сіх пацієнтів на АРТ 11,9% (1468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особи) отримують препарати за місцем проживання у 13 аптеках КП «Фармація» </w:t>
      </w:r>
    </w:p>
    <w:p w:rsidR="000E5F04" w:rsidRPr="00754D05" w:rsidRDefault="000E5F04" w:rsidP="00646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lastRenderedPageBreak/>
        <w:t xml:space="preserve">Другий цільовий показник «90» (90% з тих, хто знає ВІЛ-статус, отримують </w:t>
      </w:r>
      <w:proofErr w:type="spellStart"/>
      <w:r w:rsidRPr="00754D0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антире</w:t>
      </w:r>
      <w:r w:rsidR="004D6E10" w:rsidRPr="00754D0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тровірусну</w:t>
      </w:r>
      <w:proofErr w:type="spellEnd"/>
      <w:r w:rsidR="004D6E10" w:rsidRPr="00754D0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терапію) становить 82,7% (12 331</w:t>
      </w:r>
      <w:r w:rsidRPr="00754D0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особи від осіб, що знаходятьс</w:t>
      </w:r>
      <w:r w:rsidR="004D6E10" w:rsidRPr="00754D0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я під медичним наглядом – 14 910</w:t>
      </w:r>
      <w:r w:rsidRPr="00754D0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). </w:t>
      </w:r>
      <w:r w:rsidR="00D85F71"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Цільовий показник на кінець 2020 року - 90%</w:t>
      </w:r>
    </w:p>
    <w:p w:rsidR="000E5F04" w:rsidRPr="00754D05" w:rsidRDefault="000E5F04" w:rsidP="00646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4D0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Третій цільовий показник (у 90% тих, хто отримує лікування, досягнуто пригнічення вірусу). Станом на 01.07.2020 року серед пацієнтів, які отримую</w:t>
      </w:r>
      <w:r w:rsidR="004D6E10" w:rsidRPr="00754D0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ть </w:t>
      </w:r>
      <w:proofErr w:type="spellStart"/>
      <w:r w:rsidR="004D6E10" w:rsidRPr="00754D0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антиретровірусну</w:t>
      </w:r>
      <w:proofErr w:type="spellEnd"/>
      <w:r w:rsidR="004D6E10" w:rsidRPr="00754D0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терапію у 95% пацієнтів (11 714</w:t>
      </w:r>
      <w:r w:rsidRPr="00754D0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осіб</w:t>
      </w:r>
      <w:r w:rsidRPr="00754D05">
        <w:rPr>
          <w:rFonts w:ascii="Times New Roman" w:eastAsia="Times New Roman" w:hAnsi="Times New Roman" w:cs="Times New Roman"/>
          <w:sz w:val="27"/>
          <w:szCs w:val="27"/>
          <w:lang w:eastAsia="uk-UA"/>
        </w:rPr>
        <w:t>) досягнуто зниження рівня вірусного навантаження до невизначеного рівня, що є певним успіхом діяльності на шляху досягнення третього «90». Цільовий показник на кінець 2020 року - 90%).</w:t>
      </w:r>
    </w:p>
    <w:p w:rsidR="000E5F04" w:rsidRPr="00754D05" w:rsidRDefault="000E5F04" w:rsidP="00646708">
      <w:pPr>
        <w:pStyle w:val="a5"/>
        <w:spacing w:after="0" w:line="240" w:lineRule="auto"/>
        <w:ind w:left="50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0E5F04" w:rsidRDefault="000E5F04" w:rsidP="000E5F04">
      <w:pPr>
        <w:pStyle w:val="a5"/>
        <w:spacing w:after="0" w:line="240" w:lineRule="auto"/>
        <w:ind w:left="501"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 w:eastAsia="uk-UA"/>
        </w:rPr>
      </w:pPr>
    </w:p>
    <w:p w:rsidR="00B6477C" w:rsidRPr="00B6477C" w:rsidRDefault="00B6477C" w:rsidP="000E5F04">
      <w:pPr>
        <w:pStyle w:val="a5"/>
        <w:spacing w:after="0" w:line="240" w:lineRule="auto"/>
        <w:ind w:left="501"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 w:eastAsia="uk-UA"/>
        </w:rPr>
      </w:pPr>
    </w:p>
    <w:p w:rsidR="00B6477C" w:rsidRDefault="00B6477C" w:rsidP="00B6477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директора – начальник </w:t>
      </w:r>
    </w:p>
    <w:p w:rsidR="00B6477C" w:rsidRDefault="00B6477C" w:rsidP="00B6477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лікувально-профілактичної </w:t>
      </w:r>
    </w:p>
    <w:p w:rsidR="00B6477C" w:rsidRDefault="00B6477C" w:rsidP="00B6477C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допомоги                                                                            Галина ЗБОРОМИРСЬКА</w:t>
      </w:r>
    </w:p>
    <w:p w:rsidR="00B6477C" w:rsidRDefault="00B6477C" w:rsidP="00B647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B6477C" w:rsidRDefault="00B6477C" w:rsidP="00B6477C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0E5F04" w:rsidRPr="00754D05" w:rsidRDefault="000E5F04" w:rsidP="001436A5">
      <w:pPr>
        <w:pStyle w:val="a5"/>
        <w:spacing w:after="0" w:line="240" w:lineRule="auto"/>
        <w:ind w:left="501" w:firstLine="709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754D05" w:rsidRPr="00754D05" w:rsidRDefault="00754D05">
      <w:pPr>
        <w:pStyle w:val="a5"/>
        <w:spacing w:after="0" w:line="240" w:lineRule="auto"/>
        <w:ind w:left="501" w:firstLine="709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sectPr w:rsidR="00754D05" w:rsidRPr="00754D05" w:rsidSect="0026148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305"/>
    <w:multiLevelType w:val="hybridMultilevel"/>
    <w:tmpl w:val="440E21A2"/>
    <w:lvl w:ilvl="0" w:tplc="8690C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C5C80"/>
    <w:multiLevelType w:val="hybridMultilevel"/>
    <w:tmpl w:val="C32E74E6"/>
    <w:lvl w:ilvl="0" w:tplc="D1787E0A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9AE2824"/>
    <w:multiLevelType w:val="multilevel"/>
    <w:tmpl w:val="4D7C1D9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355C0E"/>
    <w:multiLevelType w:val="hybridMultilevel"/>
    <w:tmpl w:val="B2B45B24"/>
    <w:lvl w:ilvl="0" w:tplc="78DE50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F962AF4"/>
    <w:multiLevelType w:val="hybridMultilevel"/>
    <w:tmpl w:val="32487340"/>
    <w:lvl w:ilvl="0" w:tplc="CB34007E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85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40EE1B62"/>
    <w:multiLevelType w:val="hybridMultilevel"/>
    <w:tmpl w:val="73781C0A"/>
    <w:lvl w:ilvl="0" w:tplc="17DA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61479"/>
    <w:multiLevelType w:val="hybridMultilevel"/>
    <w:tmpl w:val="67406D4C"/>
    <w:lvl w:ilvl="0" w:tplc="20828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123FA"/>
    <w:multiLevelType w:val="hybridMultilevel"/>
    <w:tmpl w:val="5336BC24"/>
    <w:lvl w:ilvl="0" w:tplc="3A74FB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CA17CD"/>
    <w:multiLevelType w:val="multilevel"/>
    <w:tmpl w:val="7B943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4E01923"/>
    <w:multiLevelType w:val="multilevel"/>
    <w:tmpl w:val="C0700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78C8663F"/>
    <w:multiLevelType w:val="hybridMultilevel"/>
    <w:tmpl w:val="523653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F45"/>
    <w:rsid w:val="0001255A"/>
    <w:rsid w:val="000420B3"/>
    <w:rsid w:val="000E5F04"/>
    <w:rsid w:val="00111137"/>
    <w:rsid w:val="00127570"/>
    <w:rsid w:val="0013195F"/>
    <w:rsid w:val="0014290F"/>
    <w:rsid w:val="001436A5"/>
    <w:rsid w:val="001525A9"/>
    <w:rsid w:val="001730F1"/>
    <w:rsid w:val="001C6C1D"/>
    <w:rsid w:val="001C7F77"/>
    <w:rsid w:val="001F15DA"/>
    <w:rsid w:val="00221BE4"/>
    <w:rsid w:val="00261480"/>
    <w:rsid w:val="002724F3"/>
    <w:rsid w:val="00293E88"/>
    <w:rsid w:val="002A1129"/>
    <w:rsid w:val="002A6CC6"/>
    <w:rsid w:val="002D184C"/>
    <w:rsid w:val="00327A76"/>
    <w:rsid w:val="00350F72"/>
    <w:rsid w:val="00360A2F"/>
    <w:rsid w:val="003A669E"/>
    <w:rsid w:val="003D1E6B"/>
    <w:rsid w:val="003F7005"/>
    <w:rsid w:val="00445E6F"/>
    <w:rsid w:val="00487325"/>
    <w:rsid w:val="004B550D"/>
    <w:rsid w:val="004C3A85"/>
    <w:rsid w:val="004D3474"/>
    <w:rsid w:val="004D6E10"/>
    <w:rsid w:val="004E55A8"/>
    <w:rsid w:val="004F7470"/>
    <w:rsid w:val="00507F45"/>
    <w:rsid w:val="00551B76"/>
    <w:rsid w:val="005741B5"/>
    <w:rsid w:val="00581272"/>
    <w:rsid w:val="00590DE7"/>
    <w:rsid w:val="005B18C9"/>
    <w:rsid w:val="005E0FEE"/>
    <w:rsid w:val="00605E96"/>
    <w:rsid w:val="00606911"/>
    <w:rsid w:val="006121B3"/>
    <w:rsid w:val="0061467C"/>
    <w:rsid w:val="006258D0"/>
    <w:rsid w:val="00646708"/>
    <w:rsid w:val="00682F47"/>
    <w:rsid w:val="006B008D"/>
    <w:rsid w:val="006B4230"/>
    <w:rsid w:val="006C3409"/>
    <w:rsid w:val="006C3781"/>
    <w:rsid w:val="006F56ED"/>
    <w:rsid w:val="007046C6"/>
    <w:rsid w:val="00731F1E"/>
    <w:rsid w:val="00754D05"/>
    <w:rsid w:val="0076000E"/>
    <w:rsid w:val="00760D05"/>
    <w:rsid w:val="007735C9"/>
    <w:rsid w:val="00782C70"/>
    <w:rsid w:val="007D4A2B"/>
    <w:rsid w:val="007F318A"/>
    <w:rsid w:val="00851349"/>
    <w:rsid w:val="0085777C"/>
    <w:rsid w:val="00873380"/>
    <w:rsid w:val="008C4DBD"/>
    <w:rsid w:val="008D32BD"/>
    <w:rsid w:val="009239D5"/>
    <w:rsid w:val="00961DD3"/>
    <w:rsid w:val="009B58A1"/>
    <w:rsid w:val="009B7D00"/>
    <w:rsid w:val="009C2FAA"/>
    <w:rsid w:val="009F7AA2"/>
    <w:rsid w:val="00A6111E"/>
    <w:rsid w:val="00AA16D7"/>
    <w:rsid w:val="00B401B0"/>
    <w:rsid w:val="00B6477C"/>
    <w:rsid w:val="00B8189A"/>
    <w:rsid w:val="00B83BC1"/>
    <w:rsid w:val="00B85712"/>
    <w:rsid w:val="00BA1257"/>
    <w:rsid w:val="00BC2004"/>
    <w:rsid w:val="00BD490A"/>
    <w:rsid w:val="00BF2127"/>
    <w:rsid w:val="00C06CF5"/>
    <w:rsid w:val="00C07CF8"/>
    <w:rsid w:val="00C52F13"/>
    <w:rsid w:val="00C55AE2"/>
    <w:rsid w:val="00C7614A"/>
    <w:rsid w:val="00CF291A"/>
    <w:rsid w:val="00D42174"/>
    <w:rsid w:val="00D44395"/>
    <w:rsid w:val="00D85F71"/>
    <w:rsid w:val="00D94FCD"/>
    <w:rsid w:val="00DD0551"/>
    <w:rsid w:val="00DF3327"/>
    <w:rsid w:val="00DF4C8E"/>
    <w:rsid w:val="00E00987"/>
    <w:rsid w:val="00E075D5"/>
    <w:rsid w:val="00E36448"/>
    <w:rsid w:val="00E702AA"/>
    <w:rsid w:val="00E767B9"/>
    <w:rsid w:val="00E87CA1"/>
    <w:rsid w:val="00EB34EF"/>
    <w:rsid w:val="00ED1CCC"/>
    <w:rsid w:val="00ED390B"/>
    <w:rsid w:val="00ED3FC8"/>
    <w:rsid w:val="00ED4856"/>
    <w:rsid w:val="00EE4525"/>
    <w:rsid w:val="00F53CC2"/>
    <w:rsid w:val="00F644B7"/>
    <w:rsid w:val="00F74DE3"/>
    <w:rsid w:val="00FA58E0"/>
    <w:rsid w:val="00FC04AC"/>
    <w:rsid w:val="00FE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50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507F45"/>
    <w:pPr>
      <w:ind w:left="720"/>
      <w:contextualSpacing/>
    </w:pPr>
  </w:style>
  <w:style w:type="table" w:styleId="a6">
    <w:name w:val="Table Grid"/>
    <w:basedOn w:val="a1"/>
    <w:uiPriority w:val="39"/>
    <w:rsid w:val="002A1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A1129"/>
    <w:pPr>
      <w:tabs>
        <w:tab w:val="center" w:pos="4153"/>
        <w:tab w:val="right" w:pos="8306"/>
      </w:tabs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2A1129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Emphasis"/>
    <w:uiPriority w:val="20"/>
    <w:qFormat/>
    <w:rsid w:val="00E767B9"/>
    <w:rPr>
      <w:i/>
      <w:iCs/>
    </w:rPr>
  </w:style>
  <w:style w:type="character" w:customStyle="1" w:styleId="a4">
    <w:name w:val="Обычный (веб) Знак"/>
    <w:link w:val="a3"/>
    <w:uiPriority w:val="99"/>
    <w:locked/>
    <w:rsid w:val="00E767B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36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mukolka</dc:creator>
  <cp:lastModifiedBy>tig</cp:lastModifiedBy>
  <cp:revision>8</cp:revision>
  <cp:lastPrinted>2020-11-02T12:00:00Z</cp:lastPrinted>
  <dcterms:created xsi:type="dcterms:W3CDTF">2020-10-26T12:59:00Z</dcterms:created>
  <dcterms:modified xsi:type="dcterms:W3CDTF">2020-11-02T12:05:00Z</dcterms:modified>
</cp:coreProperties>
</file>