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4C62CE">
        <w:rPr>
          <w:b/>
          <w:sz w:val="24"/>
          <w:szCs w:val="24"/>
          <w:lang w:val="ru-RU"/>
        </w:rPr>
        <w:t>міський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proofErr w:type="spellStart"/>
      <w:r w:rsidRPr="00C5245C">
        <w:rPr>
          <w:color w:val="000000" w:themeColor="text1"/>
          <w:sz w:val="24"/>
          <w:szCs w:val="24"/>
        </w:rPr>
        <w:t>Щодо</w:t>
      </w:r>
      <w:proofErr w:type="spellEnd"/>
      <w:r w:rsidR="00B4430B">
        <w:rPr>
          <w:color w:val="000000" w:themeColor="text1"/>
          <w:sz w:val="24"/>
          <w:szCs w:val="24"/>
          <w:lang w:val="uk-UA"/>
        </w:rPr>
        <w:t xml:space="preserve"> закупівлі</w:t>
      </w:r>
    </w:p>
    <w:p w14:paraId="4E1B6402" w14:textId="7A6EE18E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45C87">
        <w:rPr>
          <w:color w:val="000000" w:themeColor="text1"/>
          <w:sz w:val="24"/>
          <w:szCs w:val="24"/>
          <w:lang w:val="ru-RU"/>
        </w:rPr>
        <w:t>медичних</w:t>
      </w:r>
      <w:proofErr w:type="spellEnd"/>
      <w:r w:rsidR="00745C87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45C87">
        <w:rPr>
          <w:color w:val="000000" w:themeColor="text1"/>
          <w:sz w:val="24"/>
          <w:szCs w:val="24"/>
          <w:lang w:val="ru-RU"/>
        </w:rPr>
        <w:t>мат</w:t>
      </w:r>
      <w:r w:rsidR="00625BB9">
        <w:rPr>
          <w:color w:val="000000" w:themeColor="text1"/>
          <w:sz w:val="24"/>
          <w:szCs w:val="24"/>
          <w:lang w:val="ru-RU"/>
        </w:rPr>
        <w:t>е</w:t>
      </w:r>
      <w:r w:rsidR="00745C87">
        <w:rPr>
          <w:color w:val="000000" w:themeColor="text1"/>
          <w:sz w:val="24"/>
          <w:szCs w:val="24"/>
          <w:lang w:val="ru-RU"/>
        </w:rPr>
        <w:t>ріалів</w:t>
      </w:r>
      <w:proofErr w:type="spellEnd"/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Обґрунтування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технічних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якісних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характеристик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розміру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бюджетного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призначення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очікуваної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вартості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br/>
        <w:t>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відповідно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 w:val="ru-UA" w:eastAsia="ru-UA"/>
        </w:rPr>
        <w:t>1 </w:t>
      </w:r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постанови КМУ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11.10.2016 № 710 «Про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ефективне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використання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державних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коштів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» 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змінами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</w:p>
    <w:p w14:paraId="753B46A9" w14:textId="65353D83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7"/>
        <w:ind w:left="360"/>
        <w:jc w:val="both"/>
        <w:rPr>
          <w:rFonts w:eastAsia="Times New Roman"/>
          <w:color w:val="242424"/>
          <w:sz w:val="24"/>
          <w:szCs w:val="24"/>
          <w:lang w:eastAsia="ru-UA"/>
        </w:rPr>
      </w:pPr>
    </w:p>
    <w:p w14:paraId="30B391EF" w14:textId="37497A46" w:rsidR="00745C87" w:rsidRPr="00745C87" w:rsidRDefault="003F2CF1" w:rsidP="000F510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745C87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745C87" w:rsidRPr="00745C87">
        <w:rPr>
          <w:sz w:val="24"/>
          <w:szCs w:val="24"/>
        </w:rPr>
        <w:t>ДК 021:2015: 33140000-3 «Медичні матеріали»</w:t>
      </w:r>
    </w:p>
    <w:p w14:paraId="29868E16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5BB27274" w14:textId="444C0A28" w:rsidR="00745C87" w:rsidRPr="00745C87" w:rsidRDefault="003F2CF1" w:rsidP="002A2D03">
      <w:pPr>
        <w:pStyle w:val="a7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45C87">
        <w:rPr>
          <w:sz w:val="24"/>
          <w:szCs w:val="24"/>
        </w:rPr>
        <w:t>Ідентифікатор закупівлі</w:t>
      </w:r>
      <w:r w:rsidR="00AE028B" w:rsidRPr="00745C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="00745C87" w:rsidRPr="00745C87">
          <w:rPr>
            <w:rStyle w:val="a5"/>
            <w:color w:val="000000" w:themeColor="text1"/>
            <w:sz w:val="24"/>
            <w:szCs w:val="24"/>
            <w:u w:val="none"/>
          </w:rPr>
          <w:t>UA-2021-03-29-006570-b</w:t>
        </w:r>
      </w:hyperlink>
      <w:r w:rsidR="00745C87">
        <w:rPr>
          <w:color w:val="000000" w:themeColor="text1"/>
          <w:sz w:val="24"/>
          <w:szCs w:val="24"/>
        </w:rPr>
        <w:t>.</w:t>
      </w:r>
    </w:p>
    <w:p w14:paraId="2AB24122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4258A2D6" w14:textId="0F9FA44D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</w:t>
      </w:r>
      <w:r w:rsidR="00625BB9">
        <w:rPr>
          <w:bCs/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повинні відповідати тим, що заявлені в технічному завданні</w:t>
      </w:r>
      <w:r w:rsidR="00625BB9">
        <w:rPr>
          <w:bCs/>
          <w:sz w:val="24"/>
          <w:szCs w:val="24"/>
        </w:rPr>
        <w:t>.</w:t>
      </w:r>
      <w:r w:rsidR="00F23617">
        <w:rPr>
          <w:bCs/>
          <w:sz w:val="24"/>
          <w:szCs w:val="24"/>
        </w:rPr>
        <w:t xml:space="preserve"> </w:t>
      </w:r>
      <w:r w:rsidR="00625BB9">
        <w:rPr>
          <w:bCs/>
          <w:sz w:val="24"/>
          <w:szCs w:val="24"/>
        </w:rPr>
        <w:t xml:space="preserve">Мають бути надані документи, </w:t>
      </w:r>
      <w:r w:rsidR="00625BB9" w:rsidRPr="008211E3">
        <w:rPr>
          <w:sz w:val="24"/>
          <w:szCs w:val="24"/>
        </w:rPr>
        <w:t>що підтверджують проведення оцінки відповідності запропонованого товару вимогам технічного регламенту, затвердженого постановами КМУ №753, №754, від 02.10.2013</w:t>
      </w:r>
      <w:r w:rsidR="00625BB9">
        <w:rPr>
          <w:sz w:val="24"/>
          <w:szCs w:val="24"/>
        </w:rPr>
        <w:t xml:space="preserve"> р.</w:t>
      </w:r>
    </w:p>
    <w:p w14:paraId="5D6BC7E7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7"/>
        <w:rPr>
          <w:sz w:val="24"/>
          <w:szCs w:val="24"/>
        </w:rPr>
      </w:pPr>
    </w:p>
    <w:p w14:paraId="2440ADEC" w14:textId="399BCFD7" w:rsidR="003F2CF1" w:rsidRPr="00D443C6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745C87">
        <w:rPr>
          <w:sz w:val="24"/>
          <w:szCs w:val="24"/>
        </w:rPr>
        <w:t>843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7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</w:t>
      </w:r>
      <w:proofErr w:type="spellStart"/>
      <w:r w:rsidR="00F23617" w:rsidRPr="00D443C6">
        <w:rPr>
          <w:sz w:val="24"/>
          <w:szCs w:val="24"/>
        </w:rPr>
        <w:t>закупівель</w:t>
      </w:r>
      <w:proofErr w:type="spellEnd"/>
      <w:r w:rsidR="00F23617" w:rsidRPr="00D443C6">
        <w:rPr>
          <w:sz w:val="24"/>
          <w:szCs w:val="24"/>
        </w:rPr>
        <w:t xml:space="preserve"> "</w:t>
      </w:r>
      <w:proofErr w:type="spellStart"/>
      <w:r w:rsidR="00F23617" w:rsidRPr="00D443C6">
        <w:rPr>
          <w:sz w:val="24"/>
          <w:szCs w:val="24"/>
        </w:rPr>
        <w:t>Prozorro</w:t>
      </w:r>
      <w:proofErr w:type="spellEnd"/>
      <w:r w:rsidR="00F23617" w:rsidRPr="00D443C6">
        <w:rPr>
          <w:sz w:val="24"/>
          <w:szCs w:val="24"/>
        </w:rPr>
        <w:t>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2"/>
    <w:rsid w:val="00034952"/>
    <w:rsid w:val="000821B6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F7F63"/>
    <w:rsid w:val="00600CBC"/>
    <w:rsid w:val="00604673"/>
    <w:rsid w:val="00625BB9"/>
    <w:rsid w:val="006355F1"/>
    <w:rsid w:val="00660A01"/>
    <w:rsid w:val="00663326"/>
    <w:rsid w:val="006F4F53"/>
    <w:rsid w:val="00712BBB"/>
    <w:rsid w:val="00715604"/>
    <w:rsid w:val="007208FC"/>
    <w:rsid w:val="00730B18"/>
    <w:rsid w:val="00745C87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AE028B"/>
    <w:rsid w:val="00AE77CA"/>
    <w:rsid w:val="00B30192"/>
    <w:rsid w:val="00B41E85"/>
    <w:rsid w:val="00B4430B"/>
    <w:rsid w:val="00B45CE7"/>
    <w:rsid w:val="00B70B5B"/>
    <w:rsid w:val="00B8134A"/>
    <w:rsid w:val="00B85284"/>
    <w:rsid w:val="00BE6E37"/>
    <w:rsid w:val="00BF61D3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5359040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32-B4C8-46C9-9A58-04987BD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Наташа</cp:lastModifiedBy>
  <cp:revision>3</cp:revision>
  <cp:lastPrinted>2021-04-01T13:45:00Z</cp:lastPrinted>
  <dcterms:created xsi:type="dcterms:W3CDTF">2021-04-01T13:46:00Z</dcterms:created>
  <dcterms:modified xsi:type="dcterms:W3CDTF">2021-04-01T14:01:00Z</dcterms:modified>
</cp:coreProperties>
</file>