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06258A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06258A">
        <w:rPr>
          <w:rFonts w:eastAsia="MS Mincho"/>
          <w:b/>
          <w:bCs/>
          <w:sz w:val="28"/>
          <w:szCs w:val="28"/>
        </w:rPr>
        <w:t>33600000-6 Фармацевтична продукція (Лікарські засоби для пацієнтів з рідкісними хворобами кістково-м'язової системи та сполучної тканини, 12 лотів)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EB78CF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1 - 33632000-9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Адалімумаб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Adalimumab</w:t>
      </w:r>
      <w:proofErr w:type="spellEnd"/>
      <w:r w:rsidRPr="00EB78CF">
        <w:rPr>
          <w:rFonts w:eastAsia="MS Mincho"/>
          <w:sz w:val="28"/>
          <w:szCs w:val="28"/>
        </w:rPr>
        <w:t xml:space="preserve">), 20 мг / 0,2 мл, </w:t>
      </w:r>
      <w:proofErr w:type="spellStart"/>
      <w:r w:rsidRPr="00EB78CF">
        <w:rPr>
          <w:rFonts w:eastAsia="MS Mincho"/>
          <w:sz w:val="28"/>
          <w:szCs w:val="28"/>
        </w:rPr>
        <w:t>амп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фл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шпр</w:t>
      </w:r>
      <w:proofErr w:type="spellEnd"/>
      <w:r w:rsidRPr="00EB78CF">
        <w:rPr>
          <w:rFonts w:eastAsia="MS Mincho"/>
          <w:sz w:val="28"/>
          <w:szCs w:val="28"/>
        </w:rPr>
        <w:t>. - 780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2 - 33632000-9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Адалімумаб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Adalimumab</w:t>
      </w:r>
      <w:proofErr w:type="spellEnd"/>
      <w:r w:rsidRPr="00EB78CF">
        <w:rPr>
          <w:rFonts w:eastAsia="MS Mincho"/>
          <w:sz w:val="28"/>
          <w:szCs w:val="28"/>
        </w:rPr>
        <w:t xml:space="preserve">), 40 мг / 0,4 мл, </w:t>
      </w:r>
      <w:proofErr w:type="spellStart"/>
      <w:r w:rsidRPr="00EB78CF">
        <w:rPr>
          <w:rFonts w:eastAsia="MS Mincho"/>
          <w:sz w:val="28"/>
          <w:szCs w:val="28"/>
        </w:rPr>
        <w:t>амп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фл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шпр</w:t>
      </w:r>
      <w:proofErr w:type="spellEnd"/>
      <w:r w:rsidRPr="00EB78CF">
        <w:rPr>
          <w:rFonts w:eastAsia="MS Mincho"/>
          <w:sz w:val="28"/>
          <w:szCs w:val="28"/>
        </w:rPr>
        <w:t>. - 208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3 - 33632000-9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Адалімумаб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Adalimumab</w:t>
      </w:r>
      <w:proofErr w:type="spellEnd"/>
      <w:r w:rsidRPr="00EB78CF">
        <w:rPr>
          <w:rFonts w:eastAsia="MS Mincho"/>
          <w:sz w:val="28"/>
          <w:szCs w:val="28"/>
        </w:rPr>
        <w:t xml:space="preserve">), 40 мг / 0,8 мл, </w:t>
      </w:r>
      <w:proofErr w:type="spellStart"/>
      <w:r w:rsidRPr="00EB78CF">
        <w:rPr>
          <w:rFonts w:eastAsia="MS Mincho"/>
          <w:sz w:val="28"/>
          <w:szCs w:val="28"/>
        </w:rPr>
        <w:t>амп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фл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шпр</w:t>
      </w:r>
      <w:proofErr w:type="spellEnd"/>
      <w:r w:rsidRPr="00EB78CF">
        <w:rPr>
          <w:rFonts w:eastAsia="MS Mincho"/>
          <w:sz w:val="28"/>
          <w:szCs w:val="28"/>
        </w:rPr>
        <w:t>. - 1120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4 - 33632000-9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Етанерцепт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Etanercept</w:t>
      </w:r>
      <w:proofErr w:type="spellEnd"/>
      <w:r w:rsidRPr="00EB78CF">
        <w:rPr>
          <w:rFonts w:eastAsia="MS Mincho"/>
          <w:sz w:val="28"/>
          <w:szCs w:val="28"/>
        </w:rPr>
        <w:t xml:space="preserve">), 25 мг, </w:t>
      </w:r>
      <w:proofErr w:type="spellStart"/>
      <w:r w:rsidRPr="00EB78CF">
        <w:rPr>
          <w:rFonts w:eastAsia="MS Mincho"/>
          <w:sz w:val="28"/>
          <w:szCs w:val="28"/>
        </w:rPr>
        <w:t>амп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фл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шпр</w:t>
      </w:r>
      <w:proofErr w:type="spellEnd"/>
      <w:r w:rsidRPr="00EB78CF">
        <w:rPr>
          <w:rFonts w:eastAsia="MS Mincho"/>
          <w:sz w:val="28"/>
          <w:szCs w:val="28"/>
        </w:rPr>
        <w:t>., ручка - 20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5 - 33632000-9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Етанерцепт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Etanercept</w:t>
      </w:r>
      <w:proofErr w:type="spellEnd"/>
      <w:r w:rsidRPr="00EB78CF">
        <w:rPr>
          <w:rFonts w:eastAsia="MS Mincho"/>
          <w:sz w:val="28"/>
          <w:szCs w:val="28"/>
        </w:rPr>
        <w:t xml:space="preserve">), 50 мг, </w:t>
      </w:r>
      <w:proofErr w:type="spellStart"/>
      <w:r w:rsidRPr="00EB78CF">
        <w:rPr>
          <w:rFonts w:eastAsia="MS Mincho"/>
          <w:sz w:val="28"/>
          <w:szCs w:val="28"/>
        </w:rPr>
        <w:t>амп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фл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шпр</w:t>
      </w:r>
      <w:proofErr w:type="spellEnd"/>
      <w:r w:rsidRPr="00EB78CF">
        <w:rPr>
          <w:rFonts w:eastAsia="MS Mincho"/>
          <w:sz w:val="28"/>
          <w:szCs w:val="28"/>
        </w:rPr>
        <w:t>., ручка - 144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>лот 6 - 33632000-9 Лікарські засоби для лікування захворювань опорно-рухового апарату - Тоцилізумаб (</w:t>
      </w:r>
      <w:proofErr w:type="spellStart"/>
      <w:r w:rsidRPr="00EB78CF">
        <w:rPr>
          <w:rFonts w:eastAsia="MS Mincho"/>
          <w:sz w:val="28"/>
          <w:szCs w:val="28"/>
        </w:rPr>
        <w:t>Tocilizumab</w:t>
      </w:r>
      <w:proofErr w:type="spellEnd"/>
      <w:r w:rsidRPr="00EB78CF">
        <w:rPr>
          <w:rFonts w:eastAsia="MS Mincho"/>
          <w:sz w:val="28"/>
          <w:szCs w:val="28"/>
        </w:rPr>
        <w:t xml:space="preserve">), 162 мг / 0,9 мл, </w:t>
      </w:r>
      <w:proofErr w:type="spellStart"/>
      <w:r w:rsidRPr="00EB78CF">
        <w:rPr>
          <w:rFonts w:eastAsia="MS Mincho"/>
          <w:sz w:val="28"/>
          <w:szCs w:val="28"/>
        </w:rPr>
        <w:t>амп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фл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шпр</w:t>
      </w:r>
      <w:proofErr w:type="spellEnd"/>
      <w:r w:rsidRPr="00EB78CF">
        <w:rPr>
          <w:rFonts w:eastAsia="MS Mincho"/>
          <w:sz w:val="28"/>
          <w:szCs w:val="28"/>
        </w:rPr>
        <w:t>. - 728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7 - 33632000-9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Упадацитиніб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Upadacitinib</w:t>
      </w:r>
      <w:proofErr w:type="spellEnd"/>
      <w:r w:rsidRPr="00EB78CF">
        <w:rPr>
          <w:rFonts w:eastAsia="MS Mincho"/>
          <w:sz w:val="28"/>
          <w:szCs w:val="28"/>
        </w:rPr>
        <w:t xml:space="preserve">), 15 мг, табл., </w:t>
      </w:r>
      <w:proofErr w:type="spellStart"/>
      <w:r w:rsidRPr="00EB78CF">
        <w:rPr>
          <w:rFonts w:eastAsia="MS Mincho"/>
          <w:sz w:val="28"/>
          <w:szCs w:val="28"/>
        </w:rPr>
        <w:t>капс</w:t>
      </w:r>
      <w:proofErr w:type="spellEnd"/>
      <w:r w:rsidRPr="00EB78CF">
        <w:rPr>
          <w:rFonts w:eastAsia="MS Mincho"/>
          <w:sz w:val="28"/>
          <w:szCs w:val="28"/>
        </w:rPr>
        <w:t>., драже - 1120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8 - 33632000-9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Ритуксимаб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Rituximab</w:t>
      </w:r>
      <w:proofErr w:type="spellEnd"/>
      <w:r w:rsidRPr="00EB78CF">
        <w:rPr>
          <w:rFonts w:eastAsia="MS Mincho"/>
          <w:sz w:val="28"/>
          <w:szCs w:val="28"/>
        </w:rPr>
        <w:t xml:space="preserve">), 500 мг / 50 мл, </w:t>
      </w:r>
      <w:proofErr w:type="spellStart"/>
      <w:r w:rsidRPr="00EB78CF">
        <w:rPr>
          <w:rFonts w:eastAsia="MS Mincho"/>
          <w:sz w:val="28"/>
          <w:szCs w:val="28"/>
        </w:rPr>
        <w:t>амп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фл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шпр</w:t>
      </w:r>
      <w:proofErr w:type="spellEnd"/>
      <w:r w:rsidRPr="00EB78CF">
        <w:rPr>
          <w:rFonts w:eastAsia="MS Mincho"/>
          <w:sz w:val="28"/>
          <w:szCs w:val="28"/>
        </w:rPr>
        <w:t>. - 216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9 - 33632000-9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Голімумаб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Golimumab</w:t>
      </w:r>
      <w:proofErr w:type="spellEnd"/>
      <w:r w:rsidRPr="00EB78CF">
        <w:rPr>
          <w:rFonts w:eastAsia="MS Mincho"/>
          <w:sz w:val="28"/>
          <w:szCs w:val="28"/>
        </w:rPr>
        <w:t xml:space="preserve">), 50 мг, </w:t>
      </w:r>
      <w:proofErr w:type="spellStart"/>
      <w:r w:rsidRPr="00EB78CF">
        <w:rPr>
          <w:rFonts w:eastAsia="MS Mincho"/>
          <w:sz w:val="28"/>
          <w:szCs w:val="28"/>
        </w:rPr>
        <w:t>амп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фл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шпр</w:t>
      </w:r>
      <w:proofErr w:type="spellEnd"/>
      <w:r w:rsidRPr="00EB78CF">
        <w:rPr>
          <w:rFonts w:eastAsia="MS Mincho"/>
          <w:sz w:val="28"/>
          <w:szCs w:val="28"/>
        </w:rPr>
        <w:t>. - 36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10 - 33632000-9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Нінтеданіб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Nintedanib</w:t>
      </w:r>
      <w:proofErr w:type="spellEnd"/>
      <w:r w:rsidRPr="00EB78CF">
        <w:rPr>
          <w:rFonts w:eastAsia="MS Mincho"/>
          <w:sz w:val="28"/>
          <w:szCs w:val="28"/>
        </w:rPr>
        <w:t xml:space="preserve">), 150 мг, табл., </w:t>
      </w:r>
      <w:proofErr w:type="spellStart"/>
      <w:r w:rsidRPr="00EB78CF">
        <w:rPr>
          <w:rFonts w:eastAsia="MS Mincho"/>
          <w:sz w:val="28"/>
          <w:szCs w:val="28"/>
        </w:rPr>
        <w:t>капс</w:t>
      </w:r>
      <w:proofErr w:type="spellEnd"/>
      <w:r w:rsidRPr="00EB78CF">
        <w:rPr>
          <w:rFonts w:eastAsia="MS Mincho"/>
          <w:sz w:val="28"/>
          <w:szCs w:val="28"/>
        </w:rPr>
        <w:t>., драже - 420 од.</w:t>
      </w:r>
      <w:r w:rsidR="00CF7512">
        <w:rPr>
          <w:rFonts w:eastAsia="MS Mincho"/>
          <w:sz w:val="28"/>
          <w:szCs w:val="28"/>
        </w:rPr>
        <w:t>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11 - 33632000-9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Секукінумаб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Secukinumab</w:t>
      </w:r>
      <w:proofErr w:type="spellEnd"/>
      <w:r w:rsidRPr="00EB78CF">
        <w:rPr>
          <w:rFonts w:eastAsia="MS Mincho"/>
          <w:sz w:val="28"/>
          <w:szCs w:val="28"/>
        </w:rPr>
        <w:t xml:space="preserve">), 150 мг, </w:t>
      </w:r>
      <w:proofErr w:type="spellStart"/>
      <w:r w:rsidRPr="00EB78CF">
        <w:rPr>
          <w:rFonts w:eastAsia="MS Mincho"/>
          <w:sz w:val="28"/>
          <w:szCs w:val="28"/>
        </w:rPr>
        <w:t>амп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фл</w:t>
      </w:r>
      <w:proofErr w:type="spellEnd"/>
      <w:r w:rsidRPr="00EB78CF">
        <w:rPr>
          <w:rFonts w:eastAsia="MS Mincho"/>
          <w:sz w:val="28"/>
          <w:szCs w:val="28"/>
        </w:rPr>
        <w:t xml:space="preserve">., </w:t>
      </w:r>
      <w:proofErr w:type="spellStart"/>
      <w:r w:rsidRPr="00EB78CF">
        <w:rPr>
          <w:rFonts w:eastAsia="MS Mincho"/>
          <w:sz w:val="28"/>
          <w:szCs w:val="28"/>
        </w:rPr>
        <w:t>шпр</w:t>
      </w:r>
      <w:proofErr w:type="spellEnd"/>
      <w:r w:rsidRPr="00EB78CF">
        <w:rPr>
          <w:rFonts w:eastAsia="MS Mincho"/>
          <w:sz w:val="28"/>
          <w:szCs w:val="28"/>
        </w:rPr>
        <w:t>. - 31 од.;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12 - 33632000-9 Лікарські засоби для лікування захворювань опорно-рухового апарату - </w:t>
      </w:r>
      <w:proofErr w:type="spellStart"/>
      <w:r w:rsidRPr="00EB78CF">
        <w:rPr>
          <w:rFonts w:eastAsia="MS Mincho"/>
          <w:sz w:val="28"/>
          <w:szCs w:val="28"/>
        </w:rPr>
        <w:t>Тофацитиніб</w:t>
      </w:r>
      <w:proofErr w:type="spellEnd"/>
      <w:r w:rsidRPr="00EB78CF">
        <w:rPr>
          <w:rFonts w:eastAsia="MS Mincho"/>
          <w:sz w:val="28"/>
          <w:szCs w:val="28"/>
        </w:rPr>
        <w:t xml:space="preserve"> (</w:t>
      </w:r>
      <w:proofErr w:type="spellStart"/>
      <w:r w:rsidRPr="00EB78CF">
        <w:rPr>
          <w:rFonts w:eastAsia="MS Mincho"/>
          <w:sz w:val="28"/>
          <w:szCs w:val="28"/>
        </w:rPr>
        <w:t>Tofacitinib</w:t>
      </w:r>
      <w:proofErr w:type="spellEnd"/>
      <w:r w:rsidRPr="00EB78CF">
        <w:rPr>
          <w:rFonts w:eastAsia="MS Mincho"/>
          <w:sz w:val="28"/>
          <w:szCs w:val="28"/>
        </w:rPr>
        <w:t xml:space="preserve">), 5 мг, табл., </w:t>
      </w:r>
      <w:proofErr w:type="spellStart"/>
      <w:r w:rsidRPr="00EB78CF">
        <w:rPr>
          <w:rFonts w:eastAsia="MS Mincho"/>
          <w:sz w:val="28"/>
          <w:szCs w:val="28"/>
        </w:rPr>
        <w:t>капс</w:t>
      </w:r>
      <w:proofErr w:type="spellEnd"/>
      <w:r w:rsidRPr="00EB78CF">
        <w:rPr>
          <w:rFonts w:eastAsia="MS Mincho"/>
          <w:sz w:val="28"/>
          <w:szCs w:val="28"/>
        </w:rPr>
        <w:t>., драже - 1120 од.</w:t>
      </w:r>
    </w:p>
    <w:p w:rsidR="00EB78CF" w:rsidRPr="00EB78CF" w:rsidRDefault="00EB78CF" w:rsidP="00EB78CF">
      <w:pPr>
        <w:ind w:firstLine="709"/>
        <w:jc w:val="both"/>
        <w:rPr>
          <w:rFonts w:eastAsia="MS Mincho"/>
          <w:sz w:val="28"/>
          <w:szCs w:val="28"/>
        </w:rPr>
      </w:pPr>
    </w:p>
    <w:p w:rsidR="00EB78CF" w:rsidRPr="00EB78CF" w:rsidRDefault="00EB78CF" w:rsidP="00EB78CF">
      <w:pPr>
        <w:ind w:firstLine="709"/>
        <w:jc w:val="both"/>
        <w:rPr>
          <w:i/>
          <w:iCs/>
          <w:sz w:val="28"/>
          <w:szCs w:val="28"/>
        </w:rPr>
      </w:pPr>
      <w:r w:rsidRPr="00EB78CF">
        <w:rPr>
          <w:i/>
          <w:iCs/>
          <w:sz w:val="28"/>
          <w:szCs w:val="28"/>
        </w:rPr>
        <w:t>Особливі вимоги щодо лотів №№ 1, 2:</w:t>
      </w:r>
    </w:p>
    <w:p w:rsidR="00EB78CF" w:rsidRPr="00EB78CF" w:rsidRDefault="00EB78CF" w:rsidP="00EB78CF">
      <w:pPr>
        <w:ind w:firstLine="709"/>
        <w:jc w:val="both"/>
        <w:rPr>
          <w:sz w:val="28"/>
          <w:szCs w:val="28"/>
        </w:rPr>
      </w:pPr>
      <w:r w:rsidRPr="00EB78CF">
        <w:rPr>
          <w:sz w:val="28"/>
          <w:szCs w:val="28"/>
        </w:rPr>
        <w:t xml:space="preserve">Закупівля здійснюється для пацієнтів дитячого віку, які мають вагу менше 30 кг та продовжують терапію біологічним лікарським засобом </w:t>
      </w:r>
      <w:proofErr w:type="spellStart"/>
      <w:r w:rsidRPr="00EB78CF">
        <w:rPr>
          <w:sz w:val="28"/>
          <w:szCs w:val="28"/>
        </w:rPr>
        <w:lastRenderedPageBreak/>
        <w:t>Хуміра</w:t>
      </w:r>
      <w:proofErr w:type="spellEnd"/>
      <w:r w:rsidRPr="00EB78CF">
        <w:rPr>
          <w:sz w:val="28"/>
          <w:szCs w:val="28"/>
        </w:rPr>
        <w:t>. Взаємозамінність (</w:t>
      </w:r>
      <w:proofErr w:type="spellStart"/>
      <w:r w:rsidRPr="00EB78CF">
        <w:rPr>
          <w:sz w:val="28"/>
          <w:szCs w:val="28"/>
        </w:rPr>
        <w:t>interchangeability</w:t>
      </w:r>
      <w:proofErr w:type="spellEnd"/>
      <w:r w:rsidRPr="00EB78CF">
        <w:rPr>
          <w:sz w:val="28"/>
          <w:szCs w:val="28"/>
        </w:rPr>
        <w:t xml:space="preserve">) </w:t>
      </w:r>
      <w:proofErr w:type="spellStart"/>
      <w:r w:rsidRPr="00EB78CF">
        <w:rPr>
          <w:sz w:val="28"/>
          <w:szCs w:val="28"/>
        </w:rPr>
        <w:t>біосиміляру</w:t>
      </w:r>
      <w:proofErr w:type="spellEnd"/>
      <w:r w:rsidRPr="00EB78CF">
        <w:rPr>
          <w:sz w:val="28"/>
          <w:szCs w:val="28"/>
        </w:rPr>
        <w:t xml:space="preserve"> по відношенню до референтного (оригінального) лікарського засобу має бути зазначена в інструкції для медичного застосування лікарського засобу або мають бути надані результати </w:t>
      </w:r>
      <w:proofErr w:type="spellStart"/>
      <w:r w:rsidRPr="00EB78CF">
        <w:rPr>
          <w:sz w:val="28"/>
          <w:szCs w:val="28"/>
        </w:rPr>
        <w:t>рандомізованих</w:t>
      </w:r>
      <w:proofErr w:type="spellEnd"/>
      <w:r w:rsidRPr="00EB78CF">
        <w:rPr>
          <w:sz w:val="28"/>
          <w:szCs w:val="28"/>
        </w:rPr>
        <w:t xml:space="preserve"> контрольованих клінічних випробувань з доведення взаємозамінності, що відповідають Керівництву FDA по демонстрації взаємозамінності з референтним препаратом (або Керівництву іншого авторитетного регуляторного органу), і в яких підтверджено, що множинні переключення між референтним препаратом та даним </w:t>
      </w:r>
      <w:proofErr w:type="spellStart"/>
      <w:r w:rsidRPr="00EB78CF">
        <w:rPr>
          <w:sz w:val="28"/>
          <w:szCs w:val="28"/>
        </w:rPr>
        <w:t>біосиміляром</w:t>
      </w:r>
      <w:proofErr w:type="spellEnd"/>
      <w:r w:rsidRPr="00EB78CF">
        <w:rPr>
          <w:sz w:val="28"/>
          <w:szCs w:val="28"/>
        </w:rPr>
        <w:t xml:space="preserve"> не призводили до різниці в ефективності, безпеці, </w:t>
      </w:r>
      <w:proofErr w:type="spellStart"/>
      <w:r w:rsidRPr="00EB78CF">
        <w:rPr>
          <w:sz w:val="28"/>
          <w:szCs w:val="28"/>
        </w:rPr>
        <w:t>імуногенності</w:t>
      </w:r>
      <w:proofErr w:type="spellEnd"/>
      <w:r w:rsidRPr="00EB78CF">
        <w:rPr>
          <w:sz w:val="28"/>
          <w:szCs w:val="28"/>
        </w:rPr>
        <w:t xml:space="preserve">, параметрах фармакокінетики та/або </w:t>
      </w:r>
      <w:proofErr w:type="spellStart"/>
      <w:r w:rsidRPr="00EB78CF">
        <w:rPr>
          <w:sz w:val="28"/>
          <w:szCs w:val="28"/>
        </w:rPr>
        <w:t>фармакодинаміки</w:t>
      </w:r>
      <w:proofErr w:type="spellEnd"/>
      <w:r w:rsidRPr="00EB78CF">
        <w:rPr>
          <w:sz w:val="28"/>
          <w:szCs w:val="28"/>
        </w:rPr>
        <w:t xml:space="preserve"> в групі пацієнтів, що піддавалась множинним переключенням на </w:t>
      </w:r>
      <w:proofErr w:type="spellStart"/>
      <w:r w:rsidRPr="00EB78CF">
        <w:rPr>
          <w:sz w:val="28"/>
          <w:szCs w:val="28"/>
        </w:rPr>
        <w:t>біосиміляр</w:t>
      </w:r>
      <w:proofErr w:type="spellEnd"/>
      <w:r w:rsidRPr="00EB78CF">
        <w:rPr>
          <w:sz w:val="28"/>
          <w:szCs w:val="28"/>
        </w:rPr>
        <w:t xml:space="preserve">, порівняно з групою пацієнтів, яка продовжувала отримувати референтний препарат. Звертаємо увагу, що демонстрація </w:t>
      </w:r>
      <w:proofErr w:type="spellStart"/>
      <w:r w:rsidRPr="00EB78CF">
        <w:rPr>
          <w:sz w:val="28"/>
          <w:szCs w:val="28"/>
        </w:rPr>
        <w:t>біосимілярності</w:t>
      </w:r>
      <w:proofErr w:type="spellEnd"/>
      <w:r w:rsidRPr="00EB78CF">
        <w:rPr>
          <w:sz w:val="28"/>
          <w:szCs w:val="28"/>
        </w:rPr>
        <w:t xml:space="preserve"> не означає демонстрації взаємозамінності.  Учасник має надати копію звіту про таке проведене клінічне випробування, метою якого була саме демонстрація взаємозамінності.</w:t>
      </w:r>
    </w:p>
    <w:p w:rsidR="00EB78CF" w:rsidRPr="00EB78CF" w:rsidRDefault="00EB78CF" w:rsidP="00EB78CF">
      <w:pPr>
        <w:ind w:firstLine="709"/>
        <w:jc w:val="both"/>
        <w:rPr>
          <w:i/>
          <w:iCs/>
          <w:sz w:val="28"/>
          <w:szCs w:val="28"/>
        </w:rPr>
      </w:pPr>
    </w:p>
    <w:p w:rsidR="00EB78CF" w:rsidRPr="00EB78CF" w:rsidRDefault="00EB78CF" w:rsidP="00EB78CF">
      <w:pPr>
        <w:ind w:firstLine="709"/>
        <w:jc w:val="both"/>
        <w:rPr>
          <w:i/>
          <w:iCs/>
          <w:sz w:val="28"/>
          <w:szCs w:val="28"/>
        </w:rPr>
      </w:pPr>
      <w:r w:rsidRPr="00EB78CF">
        <w:rPr>
          <w:i/>
          <w:iCs/>
          <w:sz w:val="28"/>
          <w:szCs w:val="28"/>
        </w:rPr>
        <w:t>Загальні вимоги:</w:t>
      </w:r>
    </w:p>
    <w:p w:rsidR="00EB78CF" w:rsidRPr="00EB78CF" w:rsidRDefault="00EB78CF" w:rsidP="00EB78CF">
      <w:pPr>
        <w:ind w:right="15" w:firstLine="709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EB78CF" w:rsidRPr="00EB78CF" w:rsidRDefault="00EB78CF" w:rsidP="00EB78CF">
      <w:pPr>
        <w:ind w:right="15" w:firstLine="709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>-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EB78CF" w:rsidRPr="00EB78CF" w:rsidRDefault="00EB78CF" w:rsidP="00EB78CF">
      <w:pPr>
        <w:ind w:right="15" w:firstLine="709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EB78CF" w:rsidRPr="00EB78CF" w:rsidRDefault="00EB78CF" w:rsidP="00EB78CF">
      <w:pPr>
        <w:ind w:right="15" w:firstLine="720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>2. Лікарський засіб повинен мати інструкцію для медичного застосування. Для підтвердження учасником надається копія інструкції для медичного застосування лікарського засобу.</w:t>
      </w:r>
    </w:p>
    <w:p w:rsidR="00EB78CF" w:rsidRPr="00EB78CF" w:rsidRDefault="00EB78CF" w:rsidP="00EB78CF">
      <w:pPr>
        <w:ind w:right="15" w:firstLine="720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>3. Термін придатності лікарського засобу на момент поставки повинен становити не менше 75%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EB78CF" w:rsidRPr="00EB78CF" w:rsidRDefault="00EB78CF" w:rsidP="00EB78CF">
      <w:pPr>
        <w:ind w:right="15" w:firstLine="720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EB78CF" w:rsidRPr="00EB78CF" w:rsidRDefault="00EB78CF" w:rsidP="00EB78CF">
      <w:pPr>
        <w:ind w:right="15" w:firstLine="720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 xml:space="preserve"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</w:t>
      </w:r>
      <w:r w:rsidRPr="00EB78CF">
        <w:rPr>
          <w:bCs/>
          <w:sz w:val="28"/>
          <w:szCs w:val="28"/>
        </w:rPr>
        <w:lastRenderedPageBreak/>
        <w:t>09.09.2014 за № 1097/25874. Для підтвердження учасник надає копію витягу з відповідного наказу МОЗ України.</w:t>
      </w:r>
    </w:p>
    <w:p w:rsidR="00EB78CF" w:rsidRPr="00EB78CF" w:rsidRDefault="00EB78CF" w:rsidP="00EB78CF">
      <w:pPr>
        <w:ind w:right="15" w:firstLine="720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>6. Лікарський засіб повинен бути внесеним до Національного переліку основних лікарських засобів, в рамках виконання постанови КМУ від 25 березня 2009 № 333 «Деякі питання державного регулювання цін на лікарські засоби і вироби медичного призначення». Для підтвердження учасник надає копію витягу з Національного переліку основних лікарських засобів.</w:t>
      </w:r>
    </w:p>
    <w:p w:rsidR="00EB78CF" w:rsidRPr="00EB78CF" w:rsidRDefault="00EB78CF" w:rsidP="00EB78CF">
      <w:pPr>
        <w:ind w:right="15" w:firstLine="720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>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оцінки медичних технологій на запропонований лікарський засіб, проведеного відповідно до вимог Порядку проведення державної оцінки медичних технологій, затвердженого постановою КМУ від 23 грудня 2020 № 1300 «Про затвердження Порядку проведення державної оцінки медичних технологій».</w:t>
      </w:r>
    </w:p>
    <w:p w:rsidR="00EB78CF" w:rsidRPr="00EB78CF" w:rsidRDefault="00EB78CF" w:rsidP="00EB78CF">
      <w:pPr>
        <w:ind w:right="15" w:firstLine="720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 xml:space="preserve"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EB78CF" w:rsidRPr="00EB78CF" w:rsidRDefault="00EB78CF" w:rsidP="00EB78CF">
      <w:pPr>
        <w:ind w:right="15" w:firstLine="720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915347" w:rsidRPr="00EB78CF" w:rsidRDefault="00EB78CF" w:rsidP="00EB78CF">
      <w:pPr>
        <w:ind w:right="15" w:firstLine="720"/>
        <w:contextualSpacing/>
        <w:jc w:val="both"/>
        <w:rPr>
          <w:bCs/>
          <w:sz w:val="28"/>
          <w:szCs w:val="28"/>
        </w:rPr>
      </w:pPr>
      <w:r w:rsidRPr="00EB78CF">
        <w:rPr>
          <w:bCs/>
          <w:sz w:val="28"/>
          <w:szCs w:val="28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915347" w:rsidRDefault="00915347" w:rsidP="00915347">
      <w:pPr>
        <w:ind w:right="15" w:firstLine="720"/>
        <w:contextualSpacing/>
        <w:jc w:val="both"/>
        <w:rPr>
          <w:b/>
          <w:bCs/>
          <w:sz w:val="24"/>
          <w:szCs w:val="24"/>
        </w:rPr>
      </w:pPr>
    </w:p>
    <w:p w:rsidR="00915347" w:rsidRDefault="00915347" w:rsidP="00915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тендерної пропозиції</w:t>
      </w:r>
    </w:p>
    <w:p w:rsidR="00915347" w:rsidRDefault="00915347" w:rsidP="00915347">
      <w:pPr>
        <w:jc w:val="center"/>
        <w:rPr>
          <w:b/>
          <w:bCs/>
          <w:sz w:val="24"/>
          <w:szCs w:val="24"/>
        </w:rPr>
      </w:pPr>
    </w:p>
    <w:p w:rsidR="00915347" w:rsidRDefault="00915347" w:rsidP="00915347">
      <w:pPr>
        <w:jc w:val="center"/>
        <w:rPr>
          <w:bCs/>
          <w:iCs/>
        </w:rPr>
      </w:pPr>
      <w:r>
        <w:rPr>
          <w:bCs/>
          <w:iCs/>
        </w:rPr>
        <w:t>(назва процедури закупівлі)</w:t>
      </w:r>
    </w:p>
    <w:p w:rsidR="00915347" w:rsidRDefault="00915347" w:rsidP="00915347">
      <w:pPr>
        <w:jc w:val="center"/>
        <w:rPr>
          <w:bCs/>
          <w:iCs/>
          <w:sz w:val="24"/>
          <w:szCs w:val="24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542"/>
        <w:gridCol w:w="1879"/>
        <w:gridCol w:w="1801"/>
        <w:gridCol w:w="1261"/>
        <w:gridCol w:w="1441"/>
      </w:tblGrid>
      <w:tr w:rsidR="00915347" w:rsidTr="00EB78CF">
        <w:trPr>
          <w:trHeight w:val="1284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left="-142" w:right="-97"/>
              <w:jc w:val="center"/>
            </w:pPr>
            <w:r>
              <w:t>№ лоту/</w:t>
            </w:r>
          </w:p>
          <w:p w:rsidR="00915347" w:rsidRDefault="00915347">
            <w:pPr>
              <w:ind w:left="-142" w:right="-97"/>
              <w:jc w:val="center"/>
            </w:pPr>
            <w:r>
              <w:t>з/п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left="78" w:hanging="78"/>
              <w:jc w:val="center"/>
            </w:pPr>
            <w:r>
              <w:t>Найменування предмету закупівлі/товару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firstLine="33"/>
              <w:jc w:val="center"/>
            </w:pPr>
            <w:r>
              <w:t>Торгівельна назва товару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Виробник, країна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Одиниця виміру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Кількість,</w:t>
            </w:r>
          </w:p>
          <w:p w:rsidR="00915347" w:rsidRDefault="00915347">
            <w:pPr>
              <w:jc w:val="center"/>
            </w:pPr>
            <w:r>
              <w:t>од.</w:t>
            </w:r>
          </w:p>
        </w:tc>
      </w:tr>
      <w:tr w:rsidR="00915347" w:rsidTr="00EB78CF">
        <w:trPr>
          <w:trHeight w:val="340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/>
          <w:p w:rsidR="00915347" w:rsidRDefault="00915347"/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/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</w:tr>
    </w:tbl>
    <w:p w:rsidR="00915347" w:rsidRDefault="00915347" w:rsidP="00915347">
      <w:pPr>
        <w:shd w:val="clear" w:color="auto" w:fill="FFFFFF"/>
        <w:tabs>
          <w:tab w:val="left" w:pos="720"/>
        </w:tabs>
        <w:jc w:val="both"/>
        <w:rPr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5495"/>
        <w:gridCol w:w="3613"/>
      </w:tblGrid>
      <w:tr w:rsidR="00915347" w:rsidTr="00915347"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П.І.Б.)</w:t>
            </w:r>
          </w:p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П.*                                    </w:t>
            </w:r>
          </w:p>
        </w:tc>
      </w:tr>
    </w:tbl>
    <w:p w:rsidR="00915347" w:rsidRDefault="00915347" w:rsidP="00C9191C">
      <w:pPr>
        <w:pStyle w:val="a8"/>
        <w:spacing w:before="0" w:beforeAutospacing="0" w:after="0" w:afterAutospacing="0"/>
        <w:ind w:firstLine="709"/>
        <w:jc w:val="both"/>
        <w:rPr>
          <w:bCs/>
          <w:lang w:eastAsia="en-US"/>
        </w:rPr>
      </w:pPr>
      <w:r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915347" w:rsidRDefault="00915347" w:rsidP="00C9191C">
      <w:pPr>
        <w:ind w:firstLine="708"/>
        <w:jc w:val="both"/>
        <w:rPr>
          <w:bCs/>
        </w:rPr>
      </w:pPr>
      <w:r>
        <w:rPr>
          <w:bCs/>
          <w:iCs/>
        </w:rPr>
        <w:lastRenderedPageBreak/>
        <w:t>*</w:t>
      </w:r>
      <w:r>
        <w:rPr>
          <w:bCs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EB78CF" w:rsidRDefault="00520BEA" w:rsidP="001C3DFD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EB78CF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EB78CF" w:rsidRDefault="00EB78CF" w:rsidP="00B632E3">
      <w:pPr>
        <w:jc w:val="both"/>
        <w:rPr>
          <w:rFonts w:eastAsia="MS Mincho"/>
          <w:sz w:val="28"/>
          <w:szCs w:val="28"/>
        </w:rPr>
      </w:pPr>
      <w:r w:rsidRPr="00EB78CF">
        <w:rPr>
          <w:b/>
          <w:bCs/>
          <w:sz w:val="28"/>
          <w:szCs w:val="28"/>
        </w:rPr>
        <w:t xml:space="preserve">27 514 101,12 грн </w:t>
      </w:r>
      <w:r w:rsidRPr="00EB78CF">
        <w:rPr>
          <w:rFonts w:eastAsia="MS Mincho"/>
          <w:sz w:val="28"/>
          <w:szCs w:val="28"/>
        </w:rPr>
        <w:t xml:space="preserve">(Двадцять </w:t>
      </w:r>
      <w:proofErr w:type="spellStart"/>
      <w:r w:rsidRPr="00EB78CF">
        <w:rPr>
          <w:rFonts w:eastAsia="MS Mincho"/>
          <w:sz w:val="28"/>
          <w:szCs w:val="28"/>
        </w:rPr>
        <w:t>сiм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мiльйонiв</w:t>
      </w:r>
      <w:proofErr w:type="spellEnd"/>
      <w:r w:rsidRPr="00EB78CF">
        <w:rPr>
          <w:rFonts w:eastAsia="MS Mincho"/>
          <w:sz w:val="28"/>
          <w:szCs w:val="28"/>
        </w:rPr>
        <w:t xml:space="preserve"> п`ятсот чотирнадцять тисяч сто одна гривня 12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 xml:space="preserve">), </w:t>
      </w:r>
      <w:r w:rsidRPr="00EB78CF">
        <w:rPr>
          <w:rFonts w:eastAsia="MS Mincho"/>
          <w:b/>
          <w:bCs/>
          <w:sz w:val="28"/>
          <w:szCs w:val="28"/>
        </w:rPr>
        <w:t xml:space="preserve">з ПДВ, </w:t>
      </w:r>
      <w:r w:rsidRPr="00EB78CF">
        <w:rPr>
          <w:rFonts w:eastAsia="MS Mincho"/>
          <w:sz w:val="28"/>
          <w:szCs w:val="28"/>
        </w:rPr>
        <w:t>зокрема</w:t>
      </w:r>
      <w:r w:rsidR="002854FC" w:rsidRPr="00EB78CF">
        <w:rPr>
          <w:rFonts w:eastAsia="MS Mincho"/>
          <w:sz w:val="28"/>
          <w:szCs w:val="28"/>
        </w:rPr>
        <w:t>: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1 - 3 580 777,20 грн (Три </w:t>
      </w:r>
      <w:proofErr w:type="spellStart"/>
      <w:r w:rsidRPr="00EB78CF">
        <w:rPr>
          <w:rFonts w:eastAsia="MS Mincho"/>
          <w:sz w:val="28"/>
          <w:szCs w:val="28"/>
        </w:rPr>
        <w:t>мiльйони</w:t>
      </w:r>
      <w:proofErr w:type="spellEnd"/>
      <w:r w:rsidRPr="00EB78CF">
        <w:rPr>
          <w:rFonts w:eastAsia="MS Mincho"/>
          <w:sz w:val="28"/>
          <w:szCs w:val="28"/>
        </w:rPr>
        <w:t xml:space="preserve"> п`ятсот </w:t>
      </w:r>
      <w:proofErr w:type="spellStart"/>
      <w:r w:rsidRPr="00EB78CF">
        <w:rPr>
          <w:rFonts w:eastAsia="MS Mincho"/>
          <w:sz w:val="28"/>
          <w:szCs w:val="28"/>
        </w:rPr>
        <w:t>вiсiмдесят</w:t>
      </w:r>
      <w:proofErr w:type="spellEnd"/>
      <w:r w:rsidRPr="00EB78CF">
        <w:rPr>
          <w:rFonts w:eastAsia="MS Mincho"/>
          <w:sz w:val="28"/>
          <w:szCs w:val="28"/>
        </w:rPr>
        <w:t xml:space="preserve"> тисяч </w:t>
      </w:r>
      <w:proofErr w:type="spellStart"/>
      <w:r w:rsidRPr="00EB78CF">
        <w:rPr>
          <w:rFonts w:eastAsia="MS Mincho"/>
          <w:sz w:val="28"/>
          <w:szCs w:val="28"/>
        </w:rPr>
        <w:t>сiмсот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сiмдесят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сiм</w:t>
      </w:r>
      <w:proofErr w:type="spellEnd"/>
      <w:r w:rsidRPr="00EB78CF">
        <w:rPr>
          <w:rFonts w:eastAsia="MS Mincho"/>
          <w:sz w:val="28"/>
          <w:szCs w:val="28"/>
        </w:rPr>
        <w:t xml:space="preserve"> гривень 20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2 - 1 909 679,20 грн (Один </w:t>
      </w:r>
      <w:proofErr w:type="spellStart"/>
      <w:r w:rsidRPr="00EB78CF">
        <w:rPr>
          <w:rFonts w:eastAsia="MS Mincho"/>
          <w:sz w:val="28"/>
          <w:szCs w:val="28"/>
        </w:rPr>
        <w:t>мiльйон</w:t>
      </w:r>
      <w:proofErr w:type="spellEnd"/>
      <w:r w:rsidRPr="00EB78CF">
        <w:rPr>
          <w:rFonts w:eastAsia="MS Mincho"/>
          <w:sz w:val="28"/>
          <w:szCs w:val="28"/>
        </w:rPr>
        <w:t xml:space="preserve"> дев`ятсот дев`ять тисяч </w:t>
      </w:r>
      <w:proofErr w:type="spellStart"/>
      <w:r w:rsidRPr="00EB78CF">
        <w:rPr>
          <w:rFonts w:eastAsia="MS Mincho"/>
          <w:sz w:val="28"/>
          <w:szCs w:val="28"/>
        </w:rPr>
        <w:t>шiстсот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сiмдесят</w:t>
      </w:r>
      <w:proofErr w:type="spellEnd"/>
      <w:r w:rsidRPr="00EB78CF">
        <w:rPr>
          <w:rFonts w:eastAsia="MS Mincho"/>
          <w:sz w:val="28"/>
          <w:szCs w:val="28"/>
        </w:rPr>
        <w:t xml:space="preserve"> дев`ять гривень 20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>лот 3 - 8 291 068,80 грн (</w:t>
      </w:r>
      <w:proofErr w:type="spellStart"/>
      <w:r w:rsidRPr="00EB78CF">
        <w:rPr>
          <w:rFonts w:eastAsia="MS Mincho"/>
          <w:sz w:val="28"/>
          <w:szCs w:val="28"/>
        </w:rPr>
        <w:t>Вiсiм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мiльйонiв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двiстi</w:t>
      </w:r>
      <w:proofErr w:type="spellEnd"/>
      <w:r w:rsidRPr="00EB78CF">
        <w:rPr>
          <w:rFonts w:eastAsia="MS Mincho"/>
          <w:sz w:val="28"/>
          <w:szCs w:val="28"/>
        </w:rPr>
        <w:t xml:space="preserve"> дев`яносто одна тисяча </w:t>
      </w:r>
      <w:proofErr w:type="spellStart"/>
      <w:r w:rsidRPr="00EB78CF">
        <w:rPr>
          <w:rFonts w:eastAsia="MS Mincho"/>
          <w:sz w:val="28"/>
          <w:szCs w:val="28"/>
        </w:rPr>
        <w:t>шiстдесят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вiсiм</w:t>
      </w:r>
      <w:proofErr w:type="spellEnd"/>
      <w:r w:rsidRPr="00EB78CF">
        <w:rPr>
          <w:rFonts w:eastAsia="MS Mincho"/>
          <w:sz w:val="28"/>
          <w:szCs w:val="28"/>
        </w:rPr>
        <w:t xml:space="preserve"> гривень 80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4 - 58 704,60 грн (П`ятдесят </w:t>
      </w:r>
      <w:proofErr w:type="spellStart"/>
      <w:r w:rsidRPr="00EB78CF">
        <w:rPr>
          <w:rFonts w:eastAsia="MS Mincho"/>
          <w:sz w:val="28"/>
          <w:szCs w:val="28"/>
        </w:rPr>
        <w:t>вiсiм</w:t>
      </w:r>
      <w:proofErr w:type="spellEnd"/>
      <w:r w:rsidRPr="00EB78CF">
        <w:rPr>
          <w:rFonts w:eastAsia="MS Mincho"/>
          <w:sz w:val="28"/>
          <w:szCs w:val="28"/>
        </w:rPr>
        <w:t xml:space="preserve"> тисяч </w:t>
      </w:r>
      <w:proofErr w:type="spellStart"/>
      <w:r w:rsidRPr="00EB78CF">
        <w:rPr>
          <w:rFonts w:eastAsia="MS Mincho"/>
          <w:sz w:val="28"/>
          <w:szCs w:val="28"/>
        </w:rPr>
        <w:t>сiмсот</w:t>
      </w:r>
      <w:proofErr w:type="spellEnd"/>
      <w:r w:rsidRPr="00EB78CF">
        <w:rPr>
          <w:rFonts w:eastAsia="MS Mincho"/>
          <w:sz w:val="28"/>
          <w:szCs w:val="28"/>
        </w:rPr>
        <w:t xml:space="preserve"> чотири </w:t>
      </w:r>
      <w:proofErr w:type="spellStart"/>
      <w:r w:rsidRPr="00EB78CF">
        <w:rPr>
          <w:rFonts w:eastAsia="MS Mincho"/>
          <w:sz w:val="28"/>
          <w:szCs w:val="28"/>
        </w:rPr>
        <w:t>гривнi</w:t>
      </w:r>
      <w:proofErr w:type="spellEnd"/>
      <w:r w:rsidRPr="00EB78CF">
        <w:rPr>
          <w:rFonts w:eastAsia="MS Mincho"/>
          <w:sz w:val="28"/>
          <w:szCs w:val="28"/>
        </w:rPr>
        <w:t xml:space="preserve"> 60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>лот 5 - 786 640,32 грн (</w:t>
      </w:r>
      <w:proofErr w:type="spellStart"/>
      <w:r w:rsidRPr="00EB78CF">
        <w:rPr>
          <w:rFonts w:eastAsia="MS Mincho"/>
          <w:sz w:val="28"/>
          <w:szCs w:val="28"/>
        </w:rPr>
        <w:t>Сiмсот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вiсiмдесят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шiсть</w:t>
      </w:r>
      <w:proofErr w:type="spellEnd"/>
      <w:r w:rsidRPr="00EB78CF">
        <w:rPr>
          <w:rFonts w:eastAsia="MS Mincho"/>
          <w:sz w:val="28"/>
          <w:szCs w:val="28"/>
        </w:rPr>
        <w:t xml:space="preserve"> тисяч </w:t>
      </w:r>
      <w:proofErr w:type="spellStart"/>
      <w:r w:rsidRPr="00EB78CF">
        <w:rPr>
          <w:rFonts w:eastAsia="MS Mincho"/>
          <w:sz w:val="28"/>
          <w:szCs w:val="28"/>
        </w:rPr>
        <w:t>шiстсот</w:t>
      </w:r>
      <w:proofErr w:type="spellEnd"/>
      <w:r w:rsidRPr="00EB78CF">
        <w:rPr>
          <w:rFonts w:eastAsia="MS Mincho"/>
          <w:sz w:val="28"/>
          <w:szCs w:val="28"/>
        </w:rPr>
        <w:t xml:space="preserve"> сорок гривень 32 </w:t>
      </w:r>
      <w:proofErr w:type="spellStart"/>
      <w:r w:rsidRPr="00EB78CF">
        <w:rPr>
          <w:rFonts w:eastAsia="MS Mincho"/>
          <w:sz w:val="28"/>
          <w:szCs w:val="28"/>
        </w:rPr>
        <w:t>копiйки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>лот 6 - 6 105 109,92 грн (</w:t>
      </w:r>
      <w:proofErr w:type="spellStart"/>
      <w:r w:rsidRPr="00EB78CF">
        <w:rPr>
          <w:rFonts w:eastAsia="MS Mincho"/>
          <w:sz w:val="28"/>
          <w:szCs w:val="28"/>
        </w:rPr>
        <w:t>Шiсть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мiльйонiв</w:t>
      </w:r>
      <w:proofErr w:type="spellEnd"/>
      <w:r w:rsidRPr="00EB78CF">
        <w:rPr>
          <w:rFonts w:eastAsia="MS Mincho"/>
          <w:sz w:val="28"/>
          <w:szCs w:val="28"/>
        </w:rPr>
        <w:t xml:space="preserve"> сто п`ять тисяч сто дев`ять гривень 92 </w:t>
      </w:r>
      <w:proofErr w:type="spellStart"/>
      <w:r w:rsidRPr="00EB78CF">
        <w:rPr>
          <w:rFonts w:eastAsia="MS Mincho"/>
          <w:sz w:val="28"/>
          <w:szCs w:val="28"/>
        </w:rPr>
        <w:t>копiйки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7 - 901 891,20 грн (Дев`ятсот одна тисяча </w:t>
      </w:r>
      <w:proofErr w:type="spellStart"/>
      <w:r w:rsidRPr="00EB78CF">
        <w:rPr>
          <w:rFonts w:eastAsia="MS Mincho"/>
          <w:sz w:val="28"/>
          <w:szCs w:val="28"/>
        </w:rPr>
        <w:t>вiсiмсот</w:t>
      </w:r>
      <w:proofErr w:type="spellEnd"/>
      <w:r w:rsidRPr="00EB78CF">
        <w:rPr>
          <w:rFonts w:eastAsia="MS Mincho"/>
          <w:sz w:val="28"/>
          <w:szCs w:val="28"/>
        </w:rPr>
        <w:t xml:space="preserve"> дев`яносто одна гривня 20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8 - 3 378 235,68 грн (Три </w:t>
      </w:r>
      <w:proofErr w:type="spellStart"/>
      <w:r w:rsidRPr="00EB78CF">
        <w:rPr>
          <w:rFonts w:eastAsia="MS Mincho"/>
          <w:sz w:val="28"/>
          <w:szCs w:val="28"/>
        </w:rPr>
        <w:t>мiльйони</w:t>
      </w:r>
      <w:proofErr w:type="spellEnd"/>
      <w:r w:rsidRPr="00EB78CF">
        <w:rPr>
          <w:rFonts w:eastAsia="MS Mincho"/>
          <w:sz w:val="28"/>
          <w:szCs w:val="28"/>
        </w:rPr>
        <w:t xml:space="preserve"> триста </w:t>
      </w:r>
      <w:proofErr w:type="spellStart"/>
      <w:r w:rsidRPr="00EB78CF">
        <w:rPr>
          <w:rFonts w:eastAsia="MS Mincho"/>
          <w:sz w:val="28"/>
          <w:szCs w:val="28"/>
        </w:rPr>
        <w:t>сiмдесят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вiсiм</w:t>
      </w:r>
      <w:proofErr w:type="spellEnd"/>
      <w:r w:rsidRPr="00EB78CF">
        <w:rPr>
          <w:rFonts w:eastAsia="MS Mincho"/>
          <w:sz w:val="28"/>
          <w:szCs w:val="28"/>
        </w:rPr>
        <w:t xml:space="preserve"> тисяч </w:t>
      </w:r>
      <w:proofErr w:type="spellStart"/>
      <w:r w:rsidRPr="00EB78CF">
        <w:rPr>
          <w:rFonts w:eastAsia="MS Mincho"/>
          <w:sz w:val="28"/>
          <w:szCs w:val="28"/>
        </w:rPr>
        <w:t>двiстi</w:t>
      </w:r>
      <w:proofErr w:type="spellEnd"/>
      <w:r w:rsidRPr="00EB78CF">
        <w:rPr>
          <w:rFonts w:eastAsia="MS Mincho"/>
          <w:sz w:val="28"/>
          <w:szCs w:val="28"/>
        </w:rPr>
        <w:t xml:space="preserve"> тридцять п`ять гривень 68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9 - 1 188 186,48 грн (Один </w:t>
      </w:r>
      <w:proofErr w:type="spellStart"/>
      <w:r w:rsidRPr="00EB78CF">
        <w:rPr>
          <w:rFonts w:eastAsia="MS Mincho"/>
          <w:sz w:val="28"/>
          <w:szCs w:val="28"/>
        </w:rPr>
        <w:t>мiльйон</w:t>
      </w:r>
      <w:proofErr w:type="spellEnd"/>
      <w:r w:rsidRPr="00EB78CF">
        <w:rPr>
          <w:rFonts w:eastAsia="MS Mincho"/>
          <w:sz w:val="28"/>
          <w:szCs w:val="28"/>
        </w:rPr>
        <w:t xml:space="preserve"> сто </w:t>
      </w:r>
      <w:proofErr w:type="spellStart"/>
      <w:r w:rsidRPr="00EB78CF">
        <w:rPr>
          <w:rFonts w:eastAsia="MS Mincho"/>
          <w:sz w:val="28"/>
          <w:szCs w:val="28"/>
        </w:rPr>
        <w:t>вiсiмдесят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вiсiм</w:t>
      </w:r>
      <w:proofErr w:type="spellEnd"/>
      <w:r w:rsidRPr="00EB78CF">
        <w:rPr>
          <w:rFonts w:eastAsia="MS Mincho"/>
          <w:sz w:val="28"/>
          <w:szCs w:val="28"/>
        </w:rPr>
        <w:t xml:space="preserve"> тисяч сто </w:t>
      </w:r>
      <w:proofErr w:type="spellStart"/>
      <w:r w:rsidRPr="00EB78CF">
        <w:rPr>
          <w:rFonts w:eastAsia="MS Mincho"/>
          <w:sz w:val="28"/>
          <w:szCs w:val="28"/>
        </w:rPr>
        <w:t>вiсiмдесят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шiсть</w:t>
      </w:r>
      <w:proofErr w:type="spellEnd"/>
      <w:r w:rsidRPr="00EB78CF">
        <w:rPr>
          <w:rFonts w:eastAsia="MS Mincho"/>
          <w:sz w:val="28"/>
          <w:szCs w:val="28"/>
        </w:rPr>
        <w:t xml:space="preserve"> гривень 48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10 - 545 550,60 грн (П`ятсот сорок п`ять тисяч п`ятсот п`ятдесят гривень 60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B78CF" w:rsidRPr="00EB78CF" w:rsidRDefault="00EB78CF" w:rsidP="00EB78CF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11 - 317 524,32 грн (Триста </w:t>
      </w:r>
      <w:proofErr w:type="spellStart"/>
      <w:r w:rsidRPr="00EB78CF">
        <w:rPr>
          <w:rFonts w:eastAsia="MS Mincho"/>
          <w:sz w:val="28"/>
          <w:szCs w:val="28"/>
        </w:rPr>
        <w:t>сiмнадцять</w:t>
      </w:r>
      <w:proofErr w:type="spellEnd"/>
      <w:r w:rsidRPr="00EB78CF">
        <w:rPr>
          <w:rFonts w:eastAsia="MS Mincho"/>
          <w:sz w:val="28"/>
          <w:szCs w:val="28"/>
        </w:rPr>
        <w:t xml:space="preserve"> тисяч п`ятсот двадцять чотири </w:t>
      </w:r>
      <w:proofErr w:type="spellStart"/>
      <w:r w:rsidRPr="00EB78CF">
        <w:rPr>
          <w:rFonts w:eastAsia="MS Mincho"/>
          <w:sz w:val="28"/>
          <w:szCs w:val="28"/>
        </w:rPr>
        <w:t>гривнi</w:t>
      </w:r>
      <w:proofErr w:type="spellEnd"/>
      <w:r w:rsidRPr="00EB78CF">
        <w:rPr>
          <w:rFonts w:eastAsia="MS Mincho"/>
          <w:sz w:val="28"/>
          <w:szCs w:val="28"/>
        </w:rPr>
        <w:t xml:space="preserve"> 32 </w:t>
      </w:r>
      <w:proofErr w:type="spellStart"/>
      <w:r w:rsidRPr="00EB78CF">
        <w:rPr>
          <w:rFonts w:eastAsia="MS Mincho"/>
          <w:sz w:val="28"/>
          <w:szCs w:val="28"/>
        </w:rPr>
        <w:t>копiйки</w:t>
      </w:r>
      <w:proofErr w:type="spellEnd"/>
      <w:r w:rsidRPr="00EB78CF">
        <w:rPr>
          <w:rFonts w:eastAsia="MS Mincho"/>
          <w:sz w:val="28"/>
          <w:szCs w:val="28"/>
        </w:rPr>
        <w:t>);</w:t>
      </w:r>
    </w:p>
    <w:p w:rsidR="00E7188A" w:rsidRPr="00EB78CF" w:rsidRDefault="00EB78CF" w:rsidP="00EB78CF">
      <w:pPr>
        <w:jc w:val="both"/>
        <w:rPr>
          <w:rFonts w:eastAsia="MS Mincho"/>
          <w:sz w:val="28"/>
          <w:szCs w:val="28"/>
        </w:rPr>
      </w:pPr>
      <w:r w:rsidRPr="00EB78CF">
        <w:rPr>
          <w:rFonts w:eastAsia="MS Mincho"/>
          <w:sz w:val="28"/>
          <w:szCs w:val="28"/>
        </w:rPr>
        <w:t xml:space="preserve">лот 12 - 450 732,80 грн (Чотириста п`ятдесят тисяч </w:t>
      </w:r>
      <w:proofErr w:type="spellStart"/>
      <w:r w:rsidRPr="00EB78CF">
        <w:rPr>
          <w:rFonts w:eastAsia="MS Mincho"/>
          <w:sz w:val="28"/>
          <w:szCs w:val="28"/>
        </w:rPr>
        <w:t>сiмсот</w:t>
      </w:r>
      <w:proofErr w:type="spellEnd"/>
      <w:r w:rsidRPr="00EB78CF">
        <w:rPr>
          <w:rFonts w:eastAsia="MS Mincho"/>
          <w:sz w:val="28"/>
          <w:szCs w:val="28"/>
        </w:rPr>
        <w:t xml:space="preserve"> тридцять </w:t>
      </w:r>
      <w:proofErr w:type="spellStart"/>
      <w:r w:rsidRPr="00EB78CF">
        <w:rPr>
          <w:rFonts w:eastAsia="MS Mincho"/>
          <w:sz w:val="28"/>
          <w:szCs w:val="28"/>
        </w:rPr>
        <w:t>двi</w:t>
      </w:r>
      <w:proofErr w:type="spellEnd"/>
      <w:r w:rsidRPr="00EB78CF">
        <w:rPr>
          <w:rFonts w:eastAsia="MS Mincho"/>
          <w:sz w:val="28"/>
          <w:szCs w:val="28"/>
        </w:rPr>
        <w:t xml:space="preserve"> </w:t>
      </w:r>
      <w:proofErr w:type="spellStart"/>
      <w:r w:rsidRPr="00EB78CF">
        <w:rPr>
          <w:rFonts w:eastAsia="MS Mincho"/>
          <w:sz w:val="28"/>
          <w:szCs w:val="28"/>
        </w:rPr>
        <w:t>гривнi</w:t>
      </w:r>
      <w:proofErr w:type="spellEnd"/>
      <w:r w:rsidRPr="00EB78CF">
        <w:rPr>
          <w:rFonts w:eastAsia="MS Mincho"/>
          <w:sz w:val="28"/>
          <w:szCs w:val="28"/>
        </w:rPr>
        <w:t xml:space="preserve"> 80 </w:t>
      </w:r>
      <w:proofErr w:type="spellStart"/>
      <w:r w:rsidRPr="00EB78CF">
        <w:rPr>
          <w:rFonts w:eastAsia="MS Mincho"/>
          <w:sz w:val="28"/>
          <w:szCs w:val="28"/>
        </w:rPr>
        <w:t>копiйок</w:t>
      </w:r>
      <w:proofErr w:type="spellEnd"/>
      <w:r w:rsidRPr="00EB78CF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992B05" w:rsidRDefault="00992B05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650F5B" w:rsidRPr="00650F5B" w:rsidRDefault="00650F5B" w:rsidP="00650F5B">
      <w:pPr>
        <w:rPr>
          <w:rFonts w:eastAsia="MS Mincho"/>
        </w:rPr>
      </w:pPr>
    </w:p>
    <w:p w:rsidR="00650F5B" w:rsidRPr="00650F5B" w:rsidRDefault="00650F5B" w:rsidP="00650F5B">
      <w:pPr>
        <w:rPr>
          <w:rFonts w:eastAsia="MS Mincho"/>
        </w:rPr>
      </w:pPr>
    </w:p>
    <w:p w:rsidR="00650F5B" w:rsidRDefault="00650F5B" w:rsidP="00650F5B">
      <w:pPr>
        <w:rPr>
          <w:rFonts w:eastAsia="MS Mincho"/>
        </w:rPr>
      </w:pPr>
    </w:p>
    <w:p w:rsidR="00650F5B" w:rsidRDefault="00650F5B" w:rsidP="00650F5B">
      <w:pPr>
        <w:rPr>
          <w:rFonts w:eastAsia="MS Mincho"/>
        </w:rPr>
      </w:pPr>
    </w:p>
    <w:p w:rsidR="00650F5B" w:rsidRDefault="00650F5B" w:rsidP="00650F5B">
      <w:pPr>
        <w:tabs>
          <w:tab w:val="left" w:pos="1725"/>
        </w:tabs>
        <w:rPr>
          <w:rFonts w:eastAsia="MS Mincho"/>
        </w:rPr>
      </w:pPr>
      <w:r>
        <w:rPr>
          <w:rFonts w:eastAsia="MS Mincho"/>
        </w:rPr>
        <w:tab/>
      </w:r>
    </w:p>
    <w:sectPr w:rsidR="0065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312B1"/>
    <w:rsid w:val="0006258A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710F4"/>
    <w:rsid w:val="00184E9F"/>
    <w:rsid w:val="00185BFE"/>
    <w:rsid w:val="0019123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77E88"/>
    <w:rsid w:val="002854FC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5EB7"/>
    <w:rsid w:val="003D3F72"/>
    <w:rsid w:val="003E11F1"/>
    <w:rsid w:val="00403F81"/>
    <w:rsid w:val="00405126"/>
    <w:rsid w:val="00431E5F"/>
    <w:rsid w:val="00433F80"/>
    <w:rsid w:val="00453BF0"/>
    <w:rsid w:val="00460F05"/>
    <w:rsid w:val="00461B51"/>
    <w:rsid w:val="004662DF"/>
    <w:rsid w:val="00471C66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26E81"/>
    <w:rsid w:val="00640658"/>
    <w:rsid w:val="006439E9"/>
    <w:rsid w:val="00650F5B"/>
    <w:rsid w:val="00651A90"/>
    <w:rsid w:val="006557BF"/>
    <w:rsid w:val="00663EB5"/>
    <w:rsid w:val="0066427A"/>
    <w:rsid w:val="00685E93"/>
    <w:rsid w:val="00694722"/>
    <w:rsid w:val="006B0C41"/>
    <w:rsid w:val="006C0C3C"/>
    <w:rsid w:val="006C5000"/>
    <w:rsid w:val="006C5BE6"/>
    <w:rsid w:val="006D2108"/>
    <w:rsid w:val="006D6734"/>
    <w:rsid w:val="006E6BE0"/>
    <w:rsid w:val="006F2A6D"/>
    <w:rsid w:val="006F3CDF"/>
    <w:rsid w:val="006F5632"/>
    <w:rsid w:val="007067C0"/>
    <w:rsid w:val="00710EFD"/>
    <w:rsid w:val="00723DDE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96CB5"/>
    <w:rsid w:val="007A4920"/>
    <w:rsid w:val="007A56C2"/>
    <w:rsid w:val="007A757A"/>
    <w:rsid w:val="007B1B75"/>
    <w:rsid w:val="007B72CE"/>
    <w:rsid w:val="007D1268"/>
    <w:rsid w:val="007F3A80"/>
    <w:rsid w:val="0080020D"/>
    <w:rsid w:val="00800AD8"/>
    <w:rsid w:val="00820932"/>
    <w:rsid w:val="008233F8"/>
    <w:rsid w:val="00826069"/>
    <w:rsid w:val="00834670"/>
    <w:rsid w:val="00856223"/>
    <w:rsid w:val="00872344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347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0BE7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17E6"/>
    <w:rsid w:val="00AA72B4"/>
    <w:rsid w:val="00AB5AB6"/>
    <w:rsid w:val="00AD171E"/>
    <w:rsid w:val="00AE5FC7"/>
    <w:rsid w:val="00B05CE4"/>
    <w:rsid w:val="00B1432A"/>
    <w:rsid w:val="00B2265C"/>
    <w:rsid w:val="00B44D15"/>
    <w:rsid w:val="00B632E3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91C"/>
    <w:rsid w:val="00C92445"/>
    <w:rsid w:val="00C959CA"/>
    <w:rsid w:val="00CA1D9E"/>
    <w:rsid w:val="00CA42C7"/>
    <w:rsid w:val="00CB7341"/>
    <w:rsid w:val="00CB7D50"/>
    <w:rsid w:val="00CC2468"/>
    <w:rsid w:val="00CC557E"/>
    <w:rsid w:val="00CC6440"/>
    <w:rsid w:val="00CF69B5"/>
    <w:rsid w:val="00CF7512"/>
    <w:rsid w:val="00D00E7F"/>
    <w:rsid w:val="00D10053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13D1"/>
    <w:rsid w:val="00EB78CF"/>
    <w:rsid w:val="00EC76C0"/>
    <w:rsid w:val="00EC77FA"/>
    <w:rsid w:val="00ED0CD4"/>
    <w:rsid w:val="00ED123E"/>
    <w:rsid w:val="00ED579C"/>
    <w:rsid w:val="00EF4AA5"/>
    <w:rsid w:val="00EF5C86"/>
    <w:rsid w:val="00EF7CF6"/>
    <w:rsid w:val="00F00F24"/>
    <w:rsid w:val="00F01329"/>
    <w:rsid w:val="00F0194F"/>
    <w:rsid w:val="00F057DD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iPriority w:val="9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C59A-B32F-4737-B258-F35E4618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2022-10-14T05:14:00Z</cp:lastPrinted>
  <dcterms:created xsi:type="dcterms:W3CDTF">2022-10-17T08:55:00Z</dcterms:created>
  <dcterms:modified xsi:type="dcterms:W3CDTF">2022-10-17T08:55:00Z</dcterms:modified>
</cp:coreProperties>
</file>