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63" w:rsidRPr="002B7E63" w:rsidRDefault="00747D93" w:rsidP="002B7E63">
      <w:pPr>
        <w:jc w:val="center"/>
        <w:rPr>
          <w:rFonts w:eastAsia="MS Mincho"/>
          <w:b/>
          <w:bCs/>
          <w:sz w:val="28"/>
          <w:szCs w:val="28"/>
        </w:rPr>
      </w:pPr>
      <w:r w:rsidRPr="00747D93">
        <w:rPr>
          <w:rFonts w:eastAsia="MS Mincho"/>
          <w:b/>
          <w:bCs/>
          <w:sz w:val="28"/>
          <w:szCs w:val="28"/>
        </w:rPr>
        <w:t>33180000-5 Апаратура для підтримування фізіологічних функцій організму (</w:t>
      </w:r>
      <w:proofErr w:type="spellStart"/>
      <w:r w:rsidRPr="00747D93">
        <w:rPr>
          <w:rFonts w:eastAsia="MS Mincho"/>
          <w:b/>
          <w:bCs/>
          <w:sz w:val="28"/>
          <w:szCs w:val="28"/>
        </w:rPr>
        <w:t>Cистеми</w:t>
      </w:r>
      <w:proofErr w:type="spellEnd"/>
      <w:r w:rsidRPr="00747D93">
        <w:rPr>
          <w:rFonts w:eastAsia="MS Mincho"/>
          <w:b/>
          <w:bCs/>
          <w:sz w:val="28"/>
          <w:szCs w:val="28"/>
        </w:rPr>
        <w:t xml:space="preserve"> </w:t>
      </w:r>
      <w:proofErr w:type="spellStart"/>
      <w:r w:rsidRPr="00747D93">
        <w:rPr>
          <w:rFonts w:eastAsia="MS Mincho"/>
          <w:b/>
          <w:bCs/>
          <w:sz w:val="28"/>
          <w:szCs w:val="28"/>
        </w:rPr>
        <w:t>кохлеарної</w:t>
      </w:r>
      <w:proofErr w:type="spellEnd"/>
      <w:r w:rsidRPr="00747D93">
        <w:rPr>
          <w:rFonts w:eastAsia="MS Mincho"/>
          <w:b/>
          <w:bCs/>
          <w:sz w:val="28"/>
          <w:szCs w:val="28"/>
        </w:rPr>
        <w:t xml:space="preserve"> імплантації, 2 лота)</w:t>
      </w:r>
    </w:p>
    <w:p w:rsidR="00A73422" w:rsidRPr="001A02B9" w:rsidRDefault="00A73422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sz w:val="28"/>
          <w:szCs w:val="28"/>
        </w:rPr>
      </w:pPr>
    </w:p>
    <w:p w:rsidR="00352A71" w:rsidRPr="00CB7341" w:rsidRDefault="00352A71" w:rsidP="00CB7341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CB7341">
        <w:rPr>
          <w:rFonts w:eastAsia="MS Mincho"/>
          <w:b/>
          <w:sz w:val="28"/>
          <w:szCs w:val="28"/>
          <w:u w:val="single"/>
        </w:rPr>
        <w:t xml:space="preserve">1. </w:t>
      </w:r>
      <w:r w:rsidRPr="00CB7341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72183A">
        <w:rPr>
          <w:b/>
          <w:sz w:val="28"/>
          <w:szCs w:val="28"/>
          <w:u w:val="single"/>
          <w:shd w:val="clear" w:color="auto" w:fill="FFFFFF"/>
        </w:rPr>
        <w:t>**</w:t>
      </w:r>
      <w:r w:rsidRPr="00CB7341">
        <w:rPr>
          <w:b/>
          <w:sz w:val="28"/>
          <w:szCs w:val="28"/>
          <w:u w:val="single"/>
          <w:shd w:val="clear" w:color="auto" w:fill="FFFFFF"/>
        </w:rPr>
        <w:t>:</w:t>
      </w:r>
    </w:p>
    <w:p w:rsidR="00747D93" w:rsidRPr="00747D93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47D93">
        <w:rPr>
          <w:sz w:val="28"/>
          <w:szCs w:val="28"/>
        </w:rPr>
        <w:t xml:space="preserve">Лот 1 - 33185200-2 </w:t>
      </w:r>
      <w:proofErr w:type="spellStart"/>
      <w:r w:rsidRPr="00747D93">
        <w:rPr>
          <w:sz w:val="28"/>
          <w:szCs w:val="28"/>
        </w:rPr>
        <w:t>Кохлеарні</w:t>
      </w:r>
      <w:proofErr w:type="spellEnd"/>
      <w:r w:rsidRPr="00747D93">
        <w:rPr>
          <w:sz w:val="28"/>
          <w:szCs w:val="28"/>
        </w:rPr>
        <w:t xml:space="preserve"> імплантати - Система </w:t>
      </w:r>
      <w:proofErr w:type="spellStart"/>
      <w:r w:rsidRPr="00747D93">
        <w:rPr>
          <w:sz w:val="28"/>
          <w:szCs w:val="28"/>
        </w:rPr>
        <w:t>кохлеарної</w:t>
      </w:r>
      <w:proofErr w:type="spellEnd"/>
      <w:r w:rsidRPr="00747D93">
        <w:rPr>
          <w:sz w:val="28"/>
          <w:szCs w:val="28"/>
        </w:rPr>
        <w:t xml:space="preserve"> імплантації, призначена для компенсації глухоти (35643 Система </w:t>
      </w:r>
      <w:proofErr w:type="spellStart"/>
      <w:r w:rsidRPr="00747D93">
        <w:rPr>
          <w:sz w:val="28"/>
          <w:szCs w:val="28"/>
        </w:rPr>
        <w:t>кохлеарної</w:t>
      </w:r>
      <w:proofErr w:type="spellEnd"/>
      <w:r w:rsidRPr="00747D93">
        <w:rPr>
          <w:sz w:val="28"/>
          <w:szCs w:val="28"/>
        </w:rPr>
        <w:t xml:space="preserve"> імплантації) - 2 шт.:</w:t>
      </w:r>
    </w:p>
    <w:p w:rsidR="00747D93" w:rsidRPr="0084562C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</w:pPr>
      <w:r w:rsidRPr="0084562C">
        <w:t xml:space="preserve"> </w:t>
      </w: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4"/>
      </w:tblGrid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4562C">
              <w:rPr>
                <w:sz w:val="24"/>
                <w:szCs w:val="24"/>
              </w:rPr>
              <w:t>Втрата слуху понад 95 дБ в мовному діапазоні частот, з можливістю введення електродів у завиток не менше 15 мм</w:t>
            </w:r>
            <w:r>
              <w:rPr>
                <w:sz w:val="24"/>
                <w:szCs w:val="24"/>
              </w:rPr>
              <w:t>,</w:t>
            </w:r>
            <w:r w:rsidRPr="0084562C">
              <w:rPr>
                <w:sz w:val="24"/>
                <w:szCs w:val="24"/>
              </w:rPr>
              <w:t xml:space="preserve"> з товщиною імплантату не більше 4,5 мм та можливістю дистанційного керування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4562C">
              <w:rPr>
                <w:sz w:val="24"/>
                <w:szCs w:val="24"/>
              </w:rPr>
              <w:t>Кількість - 2 шт.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shd w:val="clear" w:color="auto" w:fill="FFFFFF"/>
              <w:ind w:left="0"/>
              <w:jc w:val="center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Технічні характеристики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84562C">
              <w:rPr>
                <w:i/>
                <w:iCs/>
                <w:sz w:val="24"/>
                <w:szCs w:val="24"/>
              </w:rPr>
              <w:t>Мовний процесор: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цифровий процесор;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завушний варіант мовного процесора;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товщина процесора - не більше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10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вага процесора з елементами живлення - не більше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13 г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живлення мовного процесора від повітряно-цинкових елементів живлення;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живлення мовного процесора від акумуляторів;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всенаправлений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мікрофон;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використання мовного процесора всіма віковими групами пацієнтів;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наявність пристрою дистанційного керування;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кількість програм - не менше 4-х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shd w:val="clear" w:color="auto" w:fill="FFFFFF"/>
              <w:ind w:left="0"/>
              <w:jc w:val="both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Імплантат: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біосумісність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всіх матеріалів, з яких виготовлений імплантат;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титановий корпус;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введення електрода в завиток на глибину не менше 15 мм;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не менше 19 платинових електродів;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довжина корпусу імплантату з котушкою - не більше 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52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ширина корпусу імплантату - не більше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31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товщина корпусу імплантату - не більше 4,5 мм;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вага імплантату - не більше 9 г;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можливість проведення обстеження пацієнтів, що </w:t>
            </w: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проімплантовані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, на обладнанні ядерно-магнітного резонансу до 1,5 </w:t>
            </w: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Тл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без хірургічного втручання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84562C">
              <w:rPr>
                <w:i/>
                <w:iCs/>
                <w:sz w:val="24"/>
                <w:szCs w:val="24"/>
              </w:rPr>
              <w:t>Додаткові вимоги</w:t>
            </w:r>
          </w:p>
        </w:tc>
      </w:tr>
      <w:tr w:rsidR="00747D93" w:rsidRPr="0084562C" w:rsidTr="00747D93">
        <w:trPr>
          <w:trHeight w:val="706"/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гарантія на частину, що імплантується (імплантат), повинна складати 10 років з моменту операції;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гарантія на зовнішню частину, за винятком кабелів та елементів живлення, повинна</w:t>
            </w:r>
          </w:p>
          <w:p w:rsidR="00747D93" w:rsidRPr="0084562C" w:rsidRDefault="00747D93" w:rsidP="00747D93">
            <w:pPr>
              <w:pStyle w:val="ListParagraph"/>
              <w:shd w:val="clear" w:color="auto" w:fill="FFFFFF"/>
              <w:ind w:left="313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складати 3 роки з моменту встановлення;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гарантійний ремонт, післягарантійне обслуговування та сервісні роботи виконуються співробітниками фірми-постачальника та навченим спеціалістом, який має сертифікат фірми-виробника;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наявність акумулятора до мовного процесору - не менше 2-х;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наявність повітряно-цинкових елементів живлення - не менше 2-х;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ремонт або заміна здійснюються в терміни, що не перевищують 14 днів, а в разі потреби відправити товар для тестування  виробнику - 30 днів.</w:t>
            </w:r>
          </w:p>
        </w:tc>
      </w:tr>
    </w:tbl>
    <w:p w:rsidR="00747D93" w:rsidRPr="0084562C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</w:pPr>
    </w:p>
    <w:p w:rsidR="00747D93" w:rsidRPr="00747D93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47D93">
        <w:rPr>
          <w:sz w:val="28"/>
          <w:szCs w:val="28"/>
        </w:rPr>
        <w:lastRenderedPageBreak/>
        <w:t xml:space="preserve">Лот 2 - 33185200-2 </w:t>
      </w:r>
      <w:proofErr w:type="spellStart"/>
      <w:r w:rsidRPr="00747D93">
        <w:rPr>
          <w:sz w:val="28"/>
          <w:szCs w:val="28"/>
        </w:rPr>
        <w:t>Кохлеарні</w:t>
      </w:r>
      <w:proofErr w:type="spellEnd"/>
      <w:r w:rsidRPr="00747D93">
        <w:rPr>
          <w:sz w:val="28"/>
          <w:szCs w:val="28"/>
        </w:rPr>
        <w:t xml:space="preserve"> імплантати - Система </w:t>
      </w:r>
      <w:proofErr w:type="spellStart"/>
      <w:r w:rsidRPr="00747D93">
        <w:rPr>
          <w:sz w:val="28"/>
          <w:szCs w:val="28"/>
        </w:rPr>
        <w:t>кохлеарної</w:t>
      </w:r>
      <w:proofErr w:type="spellEnd"/>
      <w:r w:rsidRPr="00747D93">
        <w:rPr>
          <w:sz w:val="28"/>
          <w:szCs w:val="28"/>
        </w:rPr>
        <w:t xml:space="preserve"> імплантації, призначена для компенсації глухоти (35643 Система </w:t>
      </w:r>
      <w:proofErr w:type="spellStart"/>
      <w:r w:rsidRPr="00747D93">
        <w:rPr>
          <w:sz w:val="28"/>
          <w:szCs w:val="28"/>
        </w:rPr>
        <w:t>кохлеарної</w:t>
      </w:r>
      <w:proofErr w:type="spellEnd"/>
      <w:r w:rsidRPr="00747D93">
        <w:rPr>
          <w:sz w:val="28"/>
          <w:szCs w:val="28"/>
        </w:rPr>
        <w:t xml:space="preserve"> імплантації) - 4 шт.:</w:t>
      </w:r>
    </w:p>
    <w:p w:rsidR="00747D93" w:rsidRPr="0084562C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</w:pPr>
    </w:p>
    <w:tbl>
      <w:tblPr>
        <w:tblW w:w="4892" w:type="pct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4"/>
      </w:tblGrid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4562C">
              <w:rPr>
                <w:sz w:val="24"/>
                <w:szCs w:val="24"/>
              </w:rPr>
              <w:t>Втрата слуху понад 9</w:t>
            </w:r>
            <w:r>
              <w:rPr>
                <w:sz w:val="24"/>
                <w:szCs w:val="24"/>
              </w:rPr>
              <w:t>5</w:t>
            </w:r>
            <w:r w:rsidRPr="0084562C">
              <w:rPr>
                <w:sz w:val="24"/>
                <w:szCs w:val="24"/>
              </w:rPr>
              <w:t xml:space="preserve"> дБ в мовному діапазоні частот, </w:t>
            </w:r>
            <w:r>
              <w:rPr>
                <w:sz w:val="24"/>
                <w:szCs w:val="24"/>
              </w:rPr>
              <w:t xml:space="preserve">з прямим електродом, </w:t>
            </w:r>
            <w:r w:rsidRPr="0084562C">
              <w:rPr>
                <w:sz w:val="24"/>
                <w:szCs w:val="24"/>
              </w:rPr>
              <w:t xml:space="preserve">можливістю введення електродів у завиток не менше </w:t>
            </w:r>
            <w:r>
              <w:rPr>
                <w:sz w:val="24"/>
                <w:szCs w:val="24"/>
              </w:rPr>
              <w:t>2</w:t>
            </w:r>
            <w:r w:rsidRPr="0084562C">
              <w:rPr>
                <w:sz w:val="24"/>
                <w:szCs w:val="24"/>
              </w:rPr>
              <w:t>5 мм та можливістю дистанційного керування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4562C">
              <w:rPr>
                <w:sz w:val="24"/>
                <w:szCs w:val="24"/>
              </w:rPr>
              <w:t xml:space="preserve">Кількість </w:t>
            </w:r>
            <w:r>
              <w:rPr>
                <w:sz w:val="24"/>
                <w:szCs w:val="24"/>
              </w:rPr>
              <w:t>-</w:t>
            </w:r>
            <w:r w:rsidRPr="0084562C">
              <w:rPr>
                <w:sz w:val="24"/>
                <w:szCs w:val="24"/>
              </w:rPr>
              <w:t xml:space="preserve"> </w:t>
            </w:r>
            <w:r w:rsidRPr="002F5D4C">
              <w:rPr>
                <w:sz w:val="24"/>
                <w:szCs w:val="24"/>
              </w:rPr>
              <w:t>4 шт</w:t>
            </w:r>
            <w:r w:rsidRPr="0084562C">
              <w:rPr>
                <w:sz w:val="24"/>
                <w:szCs w:val="24"/>
              </w:rPr>
              <w:t>.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2F5D4C" w:rsidRDefault="00747D93" w:rsidP="00747D93">
            <w:pPr>
              <w:pStyle w:val="ListParagraph"/>
              <w:shd w:val="clear" w:color="auto" w:fill="FFFFFF"/>
              <w:ind w:left="0"/>
              <w:jc w:val="center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2F5D4C"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Технічні характеристики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2F5D4C" w:rsidRDefault="00747D93" w:rsidP="00747D93">
            <w:pPr>
              <w:shd w:val="clear" w:color="auto" w:fill="FFFFFF"/>
              <w:jc w:val="both"/>
              <w:rPr>
                <w:i/>
                <w:iCs/>
                <w:sz w:val="24"/>
                <w:szCs w:val="24"/>
              </w:rPr>
            </w:pPr>
            <w:r w:rsidRPr="002F5D4C">
              <w:rPr>
                <w:i/>
                <w:iCs/>
                <w:sz w:val="24"/>
                <w:szCs w:val="24"/>
              </w:rPr>
              <w:t>Мовний процесор: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цифровий процесор;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завушний варіант мовного процесора;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товщина процесор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більше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10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вага процесор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з елементами живлення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більше </w:t>
            </w:r>
            <w:smartTag w:uri="urn:schemas-microsoft-com:office:smarttags" w:element="metricconverter">
              <w:smartTagPr>
                <w:attr w:name="ProductID" w:val="13 г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13 г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живлення мовного процесора від повітряно-цинкових елементів живлення;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живлення мовного процесора від акумуляторів;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всенаправлений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мікрофон;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використання мовного процесора всіма віковими групами пацієнтів;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наявність пристрою дистанційного керування;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кількість програм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менше 4-х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2755E6" w:rsidRDefault="00747D93" w:rsidP="00747D93">
            <w:pPr>
              <w:pStyle w:val="ListParagraph"/>
              <w:shd w:val="clear" w:color="auto" w:fill="FFFFFF"/>
              <w:ind w:left="0"/>
              <w:jc w:val="both"/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2755E6"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Імплант</w:t>
            </w:r>
            <w:r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ат</w:t>
            </w:r>
            <w:r w:rsidRPr="002755E6">
              <w:rPr>
                <w:rFonts w:eastAsia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>: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біосумісність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всіх матеріалів, з яких виготовлений імплант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ат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титановий корпус;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можливість введення електрода в завит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ок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на глибину не менше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2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5 мм;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не менше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19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платинових електродів;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загальна 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довжина корпусу імплант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ат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у з котушкою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більше </w:t>
            </w:r>
            <w:smartTag w:uri="urn:schemas-microsoft-com:office:smarttags" w:element="metricconverter">
              <w:smartTagPr>
                <w:attr w:name="ProductID" w:val="52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52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ширина корпусу імплант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ат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у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більше </w:t>
            </w:r>
            <w:smartTag w:uri="urn:schemas-microsoft-com:office:smarttags" w:element="metricconverter">
              <w:smartTagPr>
                <w:attr w:name="ProductID" w:val="31 мм"/>
              </w:smartTagPr>
              <w:r w:rsidRPr="0084562C">
                <w:rPr>
                  <w:rFonts w:eastAsia="Times New Roman"/>
                  <w:b w:val="0"/>
                  <w:bCs w:val="0"/>
                  <w:sz w:val="24"/>
                  <w:szCs w:val="24"/>
                  <w:lang w:val="uk-UA"/>
                </w:rPr>
                <w:t>31 мм</w:t>
              </w:r>
            </w:smartTag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вага імплант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ат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у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більше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10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г;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можливість проведення обстеження пацієнтів, що </w:t>
            </w: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проімплантовані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, на обладнанні ядерно-магнітного резонансу до 1,5 </w:t>
            </w:r>
            <w:proofErr w:type="spellStart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Тл</w:t>
            </w:r>
            <w:proofErr w:type="spellEnd"/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без хірургічного втручання</w:t>
            </w:r>
          </w:p>
        </w:tc>
      </w:tr>
      <w:tr w:rsidR="00747D93" w:rsidRPr="0084562C" w:rsidTr="00747D93">
        <w:trPr>
          <w:jc w:val="center"/>
        </w:trPr>
        <w:tc>
          <w:tcPr>
            <w:tcW w:w="5000" w:type="pct"/>
          </w:tcPr>
          <w:p w:rsidR="00747D93" w:rsidRPr="002755E6" w:rsidRDefault="00747D93" w:rsidP="00747D93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  <w:r w:rsidRPr="002755E6">
              <w:rPr>
                <w:i/>
                <w:iCs/>
                <w:sz w:val="24"/>
                <w:szCs w:val="24"/>
              </w:rPr>
              <w:t>Додаткові вимоги</w:t>
            </w:r>
          </w:p>
        </w:tc>
      </w:tr>
      <w:tr w:rsidR="00747D93" w:rsidRPr="0084562C" w:rsidTr="00747D93">
        <w:trPr>
          <w:trHeight w:val="706"/>
          <w:jc w:val="center"/>
        </w:trPr>
        <w:tc>
          <w:tcPr>
            <w:tcW w:w="5000" w:type="pct"/>
          </w:tcPr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гарантія на частину, що імплантується (імплант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ат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), повинна складати 10 років з моменту операції;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гарантія на зовнішню частину, за винятком кабелів та елементів живлення, повинна складати 3 роки з моменту встановлення;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гарантійний ремонт, післягарантійне обслуговування та сервісні роботи виконуються співробітниками фірми-постачальника та навченим спеціалістом, який має сертифікат фірми-виробника; 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наявність акумулятора до мовного процесор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а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менше 2-х;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наявність повітряно-цинкових елементів живлення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не менше 2-х;</w:t>
            </w:r>
          </w:p>
          <w:p w:rsidR="00747D93" w:rsidRPr="0084562C" w:rsidRDefault="00747D93" w:rsidP="00747D93">
            <w:pPr>
              <w:pStyle w:val="ListParagraph"/>
              <w:widowControl/>
              <w:numPr>
                <w:ilvl w:val="0"/>
                <w:numId w:val="39"/>
              </w:numPr>
              <w:shd w:val="clear" w:color="auto" w:fill="FFFFFF"/>
              <w:autoSpaceDE/>
              <w:autoSpaceDN/>
              <w:adjustRightInd/>
              <w:ind w:left="313" w:hanging="313"/>
              <w:contextualSpacing w:val="0"/>
              <w:jc w:val="both"/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</w:pP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ремонт або заміна здійснюються в терміни, що не перевищують 14 днів, а в разі потреби відправити товар для тестування виробнику </w:t>
            </w:r>
            <w:r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>-</w:t>
            </w:r>
            <w:r w:rsidRPr="0084562C">
              <w:rPr>
                <w:rFonts w:eastAsia="Times New Roman"/>
                <w:b w:val="0"/>
                <w:bCs w:val="0"/>
                <w:sz w:val="24"/>
                <w:szCs w:val="24"/>
                <w:lang w:val="uk-UA"/>
              </w:rPr>
              <w:t xml:space="preserve"> 30 днів</w:t>
            </w:r>
          </w:p>
        </w:tc>
      </w:tr>
    </w:tbl>
    <w:p w:rsidR="00747D93" w:rsidRPr="0084562C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</w:pPr>
    </w:p>
    <w:p w:rsidR="00747D93" w:rsidRPr="00747D93" w:rsidRDefault="00747D93" w:rsidP="00747D93">
      <w:pPr>
        <w:ind w:firstLine="709"/>
        <w:jc w:val="both"/>
        <w:rPr>
          <w:i/>
          <w:iCs/>
          <w:color w:val="000000"/>
          <w:kern w:val="24"/>
          <w:sz w:val="28"/>
          <w:szCs w:val="28"/>
        </w:rPr>
      </w:pPr>
      <w:r w:rsidRPr="00747D93">
        <w:rPr>
          <w:i/>
          <w:iCs/>
          <w:color w:val="000000"/>
          <w:kern w:val="24"/>
          <w:sz w:val="28"/>
          <w:szCs w:val="28"/>
        </w:rPr>
        <w:t>Особливі вимоги: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>-  дата виготовлення  мовного процесора повинна бути не раніше 2021 року;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>- наявність сервісного центру в м. Києві для виконання гарантійного та післягарантійного сервісу;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lastRenderedPageBreak/>
        <w:t xml:space="preserve">- учасник повинен забезпечити програмним і апаратним забезпеченням та його супроводом, навчити фахівців закладу охорони здоров’я м. Києва (не менше 2-х) налаштуванню </w:t>
      </w:r>
      <w:proofErr w:type="spellStart"/>
      <w:r w:rsidRPr="00747D93">
        <w:rPr>
          <w:color w:val="000000"/>
          <w:kern w:val="24"/>
          <w:sz w:val="28"/>
          <w:szCs w:val="28"/>
        </w:rPr>
        <w:t>кохлеарних</w:t>
      </w:r>
      <w:proofErr w:type="spellEnd"/>
      <w:r w:rsidRPr="00747D93">
        <w:rPr>
          <w:color w:val="000000"/>
          <w:kern w:val="24"/>
          <w:sz w:val="28"/>
          <w:szCs w:val="28"/>
        </w:rPr>
        <w:t xml:space="preserve"> </w:t>
      </w:r>
      <w:proofErr w:type="spellStart"/>
      <w:r w:rsidRPr="00747D93">
        <w:rPr>
          <w:color w:val="000000"/>
          <w:kern w:val="24"/>
          <w:sz w:val="28"/>
          <w:szCs w:val="28"/>
        </w:rPr>
        <w:t>імплантів</w:t>
      </w:r>
      <w:proofErr w:type="spellEnd"/>
      <w:r w:rsidRPr="00747D93">
        <w:rPr>
          <w:color w:val="000000"/>
          <w:kern w:val="24"/>
          <w:sz w:val="28"/>
          <w:szCs w:val="28"/>
        </w:rPr>
        <w:t xml:space="preserve">, які надійдуть до закладу охорони здоров’я, та подальшому </w:t>
      </w:r>
      <w:proofErr w:type="spellStart"/>
      <w:r w:rsidRPr="00747D93">
        <w:rPr>
          <w:color w:val="000000"/>
          <w:kern w:val="24"/>
          <w:sz w:val="28"/>
          <w:szCs w:val="28"/>
        </w:rPr>
        <w:t>переналаштуванню</w:t>
      </w:r>
      <w:proofErr w:type="spellEnd"/>
      <w:r w:rsidRPr="00747D93">
        <w:rPr>
          <w:color w:val="000000"/>
          <w:kern w:val="24"/>
          <w:sz w:val="28"/>
          <w:szCs w:val="28"/>
        </w:rPr>
        <w:t xml:space="preserve">  системи  </w:t>
      </w:r>
      <w:proofErr w:type="spellStart"/>
      <w:r w:rsidRPr="00747D93">
        <w:rPr>
          <w:color w:val="000000"/>
          <w:kern w:val="24"/>
          <w:sz w:val="28"/>
          <w:szCs w:val="28"/>
        </w:rPr>
        <w:t>кохлеарної</w:t>
      </w:r>
      <w:proofErr w:type="spellEnd"/>
      <w:r w:rsidRPr="00747D93">
        <w:rPr>
          <w:color w:val="000000"/>
          <w:kern w:val="24"/>
          <w:sz w:val="28"/>
          <w:szCs w:val="28"/>
        </w:rPr>
        <w:t xml:space="preserve">  імплантації з видачею відповідного сертифікату;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>- виконання гарантійного ремонту здійснюється в терміни, що не перевищують 30 днів.</w:t>
      </w:r>
    </w:p>
    <w:p w:rsidR="00747D93" w:rsidRPr="00747D93" w:rsidRDefault="00747D93" w:rsidP="00747D93">
      <w:pPr>
        <w:pStyle w:val="15"/>
        <w:ind w:right="-1"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747D93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>Для підтвердження відповідності особливим вимогам учасник надає гарантійний лист про їх виконання.</w:t>
      </w:r>
    </w:p>
    <w:p w:rsidR="00747D93" w:rsidRPr="00747D93" w:rsidRDefault="00747D93" w:rsidP="00747D93">
      <w:pPr>
        <w:pStyle w:val="a8"/>
        <w:tabs>
          <w:tab w:val="left" w:pos="72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47D93" w:rsidRPr="00747D93" w:rsidRDefault="00747D93" w:rsidP="00747D93">
      <w:pPr>
        <w:ind w:firstLine="709"/>
        <w:jc w:val="both"/>
        <w:rPr>
          <w:i/>
          <w:iCs/>
          <w:color w:val="000000"/>
          <w:kern w:val="24"/>
          <w:sz w:val="28"/>
          <w:szCs w:val="28"/>
        </w:rPr>
      </w:pPr>
      <w:r w:rsidRPr="00747D93">
        <w:rPr>
          <w:i/>
          <w:iCs/>
          <w:color w:val="000000"/>
          <w:kern w:val="24"/>
          <w:sz w:val="28"/>
          <w:szCs w:val="28"/>
        </w:rPr>
        <w:t>Загальні вимоги:</w:t>
      </w:r>
    </w:p>
    <w:p w:rsidR="00747D93" w:rsidRPr="00747D93" w:rsidRDefault="00747D93" w:rsidP="00747D93">
      <w:pPr>
        <w:ind w:firstLine="709"/>
        <w:jc w:val="both"/>
        <w:rPr>
          <w:bCs/>
          <w:iCs/>
          <w:sz w:val="28"/>
          <w:szCs w:val="28"/>
        </w:rPr>
      </w:pPr>
      <w:r w:rsidRPr="00747D93">
        <w:rPr>
          <w:bCs/>
          <w:iCs/>
          <w:sz w:val="28"/>
          <w:szCs w:val="28"/>
        </w:rPr>
        <w:t xml:space="preserve">1. Медичні вироби, запропоновані для цієї закупівлі, повинні відповідати вимогам Технічного регламенту щодо медичних виробів або Технічного регламенту щодо медичних виробів для діагностики </w:t>
      </w:r>
      <w:proofErr w:type="spellStart"/>
      <w:r w:rsidRPr="00747D93">
        <w:rPr>
          <w:bCs/>
          <w:iCs/>
          <w:sz w:val="28"/>
          <w:szCs w:val="28"/>
        </w:rPr>
        <w:t>in</w:t>
      </w:r>
      <w:proofErr w:type="spellEnd"/>
      <w:r w:rsidRPr="00747D93">
        <w:rPr>
          <w:bCs/>
          <w:iCs/>
          <w:sz w:val="28"/>
          <w:szCs w:val="28"/>
        </w:rPr>
        <w:t xml:space="preserve"> </w:t>
      </w:r>
      <w:proofErr w:type="spellStart"/>
      <w:r w:rsidRPr="00747D93">
        <w:rPr>
          <w:bCs/>
          <w:iCs/>
          <w:sz w:val="28"/>
          <w:szCs w:val="28"/>
        </w:rPr>
        <w:t>vitro</w:t>
      </w:r>
      <w:proofErr w:type="spellEnd"/>
      <w:r w:rsidRPr="00747D93">
        <w:rPr>
          <w:bCs/>
          <w:iCs/>
          <w:sz w:val="28"/>
          <w:szCs w:val="28"/>
        </w:rPr>
        <w:t xml:space="preserve"> або Технічного регламенту щодо активних медичних виробів, які імплантують. Для підтвердження учасник повинен надати копію відповідного документу або лист-роз’яснення щодо його відсутності.</w:t>
      </w:r>
    </w:p>
    <w:p w:rsidR="00747D93" w:rsidRPr="00747D93" w:rsidRDefault="00747D93" w:rsidP="00747D93">
      <w:pPr>
        <w:ind w:right="15" w:firstLine="720"/>
        <w:contextualSpacing/>
        <w:jc w:val="both"/>
        <w:rPr>
          <w:bCs/>
          <w:sz w:val="28"/>
          <w:szCs w:val="28"/>
        </w:rPr>
      </w:pPr>
      <w:r w:rsidRPr="00747D93">
        <w:rPr>
          <w:bCs/>
          <w:sz w:val="28"/>
          <w:szCs w:val="28"/>
        </w:rPr>
        <w:t xml:space="preserve">2. Медичні вироби, </w:t>
      </w:r>
      <w:r w:rsidRPr="00747D93">
        <w:rPr>
          <w:bCs/>
          <w:iCs/>
          <w:sz w:val="28"/>
          <w:szCs w:val="28"/>
        </w:rPr>
        <w:t>запропоновані для цієї закупівлі, повинні бути введені в обіг та/або експлуатацію у законний спосіб на момент подання тендерної пропозиції. Для підтвердження учасник повинен надати копію відповідного документу або лист-роз’яснення щодо його відсутності.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sz w:val="28"/>
          <w:szCs w:val="28"/>
        </w:rPr>
        <w:t>3. Медичні вироби повинні мати інструкцію із застосування. Для підтвердження учасником надається копія інструкції із застосування медичних виробів.</w:t>
      </w:r>
    </w:p>
    <w:p w:rsidR="00747D93" w:rsidRPr="00747D93" w:rsidRDefault="00747D93" w:rsidP="00747D93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47D93">
        <w:rPr>
          <w:rFonts w:ascii="Times New Roman" w:hAnsi="Times New Roman"/>
          <w:color w:val="000000"/>
          <w:kern w:val="24"/>
          <w:sz w:val="28"/>
          <w:szCs w:val="28"/>
          <w:lang w:val="uk-UA"/>
        </w:rPr>
        <w:t xml:space="preserve">4. Товар може бути вітчизняного або іноземного виробництва та повинен відповідати вимогам ДСТУ ISO, зазначеним у сертифікаті відповідності. </w:t>
      </w:r>
      <w:r w:rsidRPr="00747D93">
        <w:rPr>
          <w:rFonts w:ascii="Times New Roman" w:hAnsi="Times New Roman"/>
          <w:bCs/>
          <w:iCs/>
          <w:sz w:val="28"/>
          <w:szCs w:val="28"/>
          <w:lang w:val="uk-UA"/>
        </w:rPr>
        <w:t>Для підтвердження учасник надає копію сертифікату відповідності.</w:t>
      </w:r>
    </w:p>
    <w:p w:rsidR="00747D93" w:rsidRPr="00747D93" w:rsidRDefault="00747D93" w:rsidP="00747D93">
      <w:pPr>
        <w:ind w:firstLine="709"/>
        <w:jc w:val="both"/>
        <w:rPr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 xml:space="preserve">5. Товар не повинен відрізнятися від вимог замовника за якісними критеріями та технічними характеристиками, зазначеними в документації. </w:t>
      </w:r>
      <w:r w:rsidRPr="00747D93">
        <w:rPr>
          <w:bCs/>
          <w:iCs/>
          <w:sz w:val="28"/>
          <w:szCs w:val="28"/>
        </w:rPr>
        <w:t>Для підтвердження учасник надає гарантійний лист</w:t>
      </w:r>
      <w:r w:rsidRPr="00747D93">
        <w:rPr>
          <w:sz w:val="28"/>
          <w:szCs w:val="28"/>
        </w:rPr>
        <w:t>-підтвердження щодо відповідності заявленим характеристикам.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 xml:space="preserve">6. </w:t>
      </w:r>
      <w:r w:rsidRPr="00747D93">
        <w:rPr>
          <w:sz w:val="28"/>
          <w:szCs w:val="28"/>
        </w:rPr>
        <w:t>Строк поставки медичних виробів повинен становити не більше 10 днів з моменту отримання письмової заявки. Для підтвердження учасник надає гарантійний лист про строк поставки медичних виробів</w:t>
      </w:r>
      <w:r w:rsidRPr="00747D93">
        <w:rPr>
          <w:color w:val="000000"/>
          <w:kern w:val="24"/>
          <w:sz w:val="28"/>
          <w:szCs w:val="28"/>
        </w:rPr>
        <w:t>.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 xml:space="preserve">7. </w:t>
      </w:r>
      <w:r w:rsidRPr="00747D93">
        <w:rPr>
          <w:sz w:val="28"/>
          <w:szCs w:val="28"/>
        </w:rPr>
        <w:t>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</w:t>
      </w:r>
      <w:r w:rsidRPr="00747D93">
        <w:rPr>
          <w:color w:val="000000"/>
          <w:kern w:val="24"/>
          <w:sz w:val="28"/>
          <w:szCs w:val="28"/>
        </w:rPr>
        <w:t>.</w:t>
      </w:r>
    </w:p>
    <w:p w:rsidR="00747D93" w:rsidRPr="00747D93" w:rsidRDefault="00747D93" w:rsidP="00747D93">
      <w:pPr>
        <w:ind w:firstLine="709"/>
        <w:jc w:val="both"/>
        <w:rPr>
          <w:color w:val="000000"/>
          <w:kern w:val="24"/>
          <w:sz w:val="28"/>
          <w:szCs w:val="28"/>
        </w:rPr>
      </w:pPr>
      <w:r w:rsidRPr="00747D93">
        <w:rPr>
          <w:color w:val="000000"/>
          <w:kern w:val="24"/>
          <w:sz w:val="28"/>
          <w:szCs w:val="28"/>
        </w:rPr>
        <w:t>8. 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747D93" w:rsidRPr="00747D93" w:rsidRDefault="00747D93" w:rsidP="00747D93">
      <w:pPr>
        <w:ind w:firstLine="709"/>
        <w:jc w:val="both"/>
        <w:rPr>
          <w:sz w:val="28"/>
          <w:szCs w:val="28"/>
        </w:rPr>
      </w:pPr>
      <w:r w:rsidRPr="00747D93">
        <w:rPr>
          <w:sz w:val="28"/>
          <w:szCs w:val="28"/>
        </w:rPr>
        <w:lastRenderedPageBreak/>
        <w:t>9. 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877C0A" w:rsidRPr="003C4207" w:rsidRDefault="00877C0A" w:rsidP="003C4207">
      <w:pPr>
        <w:ind w:firstLine="720"/>
        <w:contextualSpacing/>
        <w:jc w:val="both"/>
        <w:rPr>
          <w:sz w:val="28"/>
          <w:szCs w:val="28"/>
        </w:rPr>
      </w:pPr>
    </w:p>
    <w:p w:rsidR="00877C0A" w:rsidRDefault="00877C0A" w:rsidP="00877C0A">
      <w:pPr>
        <w:jc w:val="center"/>
        <w:rPr>
          <w:b/>
          <w:bCs/>
          <w:sz w:val="24"/>
          <w:szCs w:val="24"/>
        </w:rPr>
      </w:pPr>
      <w:r w:rsidRPr="00914003">
        <w:rPr>
          <w:b/>
          <w:bCs/>
          <w:sz w:val="24"/>
          <w:szCs w:val="24"/>
        </w:rPr>
        <w:t>Форма тендерної пропозиції</w:t>
      </w:r>
    </w:p>
    <w:p w:rsidR="00877C0A" w:rsidRPr="00914003" w:rsidRDefault="00877C0A" w:rsidP="00877C0A">
      <w:pPr>
        <w:jc w:val="center"/>
        <w:rPr>
          <w:b/>
          <w:bCs/>
          <w:sz w:val="24"/>
          <w:szCs w:val="24"/>
        </w:rPr>
      </w:pPr>
    </w:p>
    <w:p w:rsidR="00877C0A" w:rsidRPr="00AE3DE6" w:rsidRDefault="00877C0A" w:rsidP="00877C0A">
      <w:pPr>
        <w:jc w:val="center"/>
        <w:rPr>
          <w:bCs/>
          <w:iCs/>
        </w:rPr>
      </w:pPr>
      <w:r w:rsidRPr="00AE3DE6">
        <w:rPr>
          <w:bCs/>
          <w:iCs/>
        </w:rPr>
        <w:t>(назва процедури закупівлі)</w:t>
      </w:r>
    </w:p>
    <w:p w:rsidR="00877C0A" w:rsidRPr="00914003" w:rsidRDefault="00877C0A" w:rsidP="00877C0A">
      <w:pPr>
        <w:jc w:val="center"/>
        <w:rPr>
          <w:bCs/>
          <w:iCs/>
          <w:sz w:val="24"/>
          <w:szCs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293"/>
        <w:gridCol w:w="1895"/>
        <w:gridCol w:w="1800"/>
        <w:gridCol w:w="1260"/>
        <w:gridCol w:w="1440"/>
      </w:tblGrid>
      <w:tr w:rsidR="00877C0A" w:rsidRPr="00914003" w:rsidTr="00877C0A">
        <w:trPr>
          <w:trHeight w:val="1284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№ лоту/</w:t>
            </w:r>
          </w:p>
          <w:p w:rsidR="00877C0A" w:rsidRPr="00914003" w:rsidRDefault="00877C0A" w:rsidP="001C3DFD">
            <w:pPr>
              <w:ind w:left="-142" w:right="-97"/>
              <w:jc w:val="center"/>
            </w:pPr>
            <w:r w:rsidRPr="00914003">
              <w:t>з/п</w:t>
            </w:r>
          </w:p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left="78" w:hanging="78"/>
              <w:jc w:val="center"/>
            </w:pPr>
            <w:r w:rsidRPr="00914003">
              <w:t>Найменування предмету закупівлі/товару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33"/>
              <w:jc w:val="center"/>
            </w:pPr>
            <w:r w:rsidRPr="00914003">
              <w:t>Торгівельна назва товару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  <w:r w:rsidRPr="00914003">
              <w:t>Кількість,</w:t>
            </w:r>
          </w:p>
          <w:p w:rsidR="00877C0A" w:rsidRPr="00914003" w:rsidRDefault="00877C0A" w:rsidP="001C3DFD">
            <w:pPr>
              <w:jc w:val="center"/>
            </w:pPr>
            <w:r w:rsidRPr="00914003">
              <w:t>од.</w:t>
            </w:r>
          </w:p>
        </w:tc>
      </w:tr>
      <w:tr w:rsidR="00877C0A" w:rsidRPr="00914003" w:rsidTr="00877C0A">
        <w:trPr>
          <w:trHeight w:val="340"/>
          <w:jc w:val="center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  <w:p w:rsidR="00877C0A" w:rsidRPr="00914003" w:rsidRDefault="00877C0A" w:rsidP="001C3DFD"/>
        </w:tc>
        <w:tc>
          <w:tcPr>
            <w:tcW w:w="2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/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C0A" w:rsidRPr="00914003" w:rsidRDefault="00877C0A" w:rsidP="001C3DFD">
            <w:pPr>
              <w:ind w:firstLine="284"/>
              <w:jc w:val="center"/>
            </w:pPr>
          </w:p>
        </w:tc>
      </w:tr>
    </w:tbl>
    <w:p w:rsidR="00877C0A" w:rsidRPr="00914003" w:rsidRDefault="00877C0A" w:rsidP="00877C0A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877C0A" w:rsidRPr="006A3CF6" w:rsidTr="001C3DFD">
        <w:tblPrEx>
          <w:tblCellMar>
            <w:top w:w="0" w:type="dxa"/>
            <w:bottom w:w="0" w:type="dxa"/>
          </w:tblCellMar>
        </w:tblPrEx>
        <w:trPr>
          <w:cantSplit/>
          <w:trHeight w:val="919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( П.І.Б.)</w:t>
            </w:r>
          </w:p>
          <w:p w:rsidR="00877C0A" w:rsidRPr="006A3CF6" w:rsidRDefault="00877C0A" w:rsidP="001C3DFD">
            <w:pPr>
              <w:pStyle w:val="a8"/>
              <w:jc w:val="both"/>
              <w:rPr>
                <w:sz w:val="16"/>
                <w:szCs w:val="16"/>
              </w:rPr>
            </w:pPr>
            <w:r w:rsidRPr="006A3CF6">
              <w:rPr>
                <w:sz w:val="16"/>
                <w:szCs w:val="16"/>
              </w:rPr>
              <w:t>М. П.</w:t>
            </w:r>
            <w:r>
              <w:rPr>
                <w:sz w:val="16"/>
                <w:szCs w:val="16"/>
              </w:rPr>
              <w:t>*</w:t>
            </w:r>
            <w:r w:rsidRPr="006A3CF6">
              <w:rPr>
                <w:sz w:val="16"/>
                <w:szCs w:val="16"/>
              </w:rPr>
              <w:t xml:space="preserve">                                    </w:t>
            </w:r>
          </w:p>
        </w:tc>
      </w:tr>
    </w:tbl>
    <w:p w:rsidR="00877C0A" w:rsidRPr="006A3CF6" w:rsidRDefault="00877C0A" w:rsidP="00877C0A">
      <w:pPr>
        <w:pStyle w:val="a8"/>
        <w:spacing w:before="0" w:beforeAutospacing="0" w:after="0" w:afterAutospacing="0"/>
        <w:ind w:firstLine="709"/>
        <w:jc w:val="both"/>
        <w:rPr>
          <w:bCs/>
        </w:rPr>
      </w:pPr>
      <w:r w:rsidRPr="000E5AE8">
        <w:rPr>
          <w:sz w:val="20"/>
          <w:szCs w:val="20"/>
        </w:rPr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877C0A" w:rsidRPr="00914003" w:rsidRDefault="00877C0A" w:rsidP="00877C0A">
      <w:pPr>
        <w:ind w:firstLine="708"/>
        <w:jc w:val="both"/>
        <w:rPr>
          <w:bCs/>
        </w:rPr>
      </w:pPr>
      <w:r>
        <w:rPr>
          <w:bCs/>
          <w:iCs/>
        </w:rPr>
        <w:t>*</w:t>
      </w:r>
      <w:r w:rsidRPr="00914003">
        <w:rPr>
          <w:bCs/>
        </w:rPr>
        <w:t xml:space="preserve">* </w:t>
      </w:r>
      <w:r>
        <w:rPr>
          <w:bCs/>
        </w:rPr>
        <w:t>У</w:t>
      </w:r>
      <w:r w:rsidRPr="00914003">
        <w:rPr>
          <w:bCs/>
        </w:rPr>
        <w:t xml:space="preserve">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2D1367" w:rsidRPr="00F46B3B" w:rsidRDefault="002D1367" w:rsidP="001A02B9">
      <w:pPr>
        <w:jc w:val="both"/>
        <w:rPr>
          <w:bCs/>
          <w:sz w:val="28"/>
          <w:szCs w:val="28"/>
        </w:rPr>
      </w:pPr>
    </w:p>
    <w:p w:rsidR="00520BEA" w:rsidRPr="00747D93" w:rsidRDefault="00520BEA" w:rsidP="003C4207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C4207">
        <w:rPr>
          <w:rFonts w:eastAsia="MS Mincho"/>
          <w:b/>
          <w:sz w:val="28"/>
          <w:szCs w:val="28"/>
          <w:u w:val="single"/>
        </w:rPr>
        <w:t xml:space="preserve">2. Розмір бюджетного призначення за кошторисом або очікувана </w:t>
      </w:r>
      <w:r w:rsidRPr="00747D93">
        <w:rPr>
          <w:rFonts w:eastAsia="MS Mincho"/>
          <w:b/>
          <w:sz w:val="28"/>
          <w:szCs w:val="28"/>
          <w:u w:val="single"/>
        </w:rPr>
        <w:t>вартість предмета закупівлі:</w:t>
      </w:r>
    </w:p>
    <w:p w:rsidR="00E7188A" w:rsidRPr="00747D93" w:rsidRDefault="00747D93" w:rsidP="003C4207">
      <w:pPr>
        <w:jc w:val="both"/>
        <w:rPr>
          <w:rFonts w:eastAsia="MS Mincho"/>
          <w:sz w:val="28"/>
          <w:szCs w:val="28"/>
        </w:rPr>
      </w:pPr>
      <w:r w:rsidRPr="00747D93">
        <w:rPr>
          <w:b/>
          <w:bCs/>
          <w:sz w:val="28"/>
          <w:szCs w:val="28"/>
        </w:rPr>
        <w:t xml:space="preserve">3 963 843,28 грн </w:t>
      </w:r>
      <w:r w:rsidRPr="00747D93">
        <w:rPr>
          <w:bCs/>
          <w:sz w:val="28"/>
          <w:szCs w:val="28"/>
        </w:rPr>
        <w:t xml:space="preserve">(Три </w:t>
      </w:r>
      <w:proofErr w:type="spellStart"/>
      <w:r w:rsidRPr="00747D93">
        <w:rPr>
          <w:bCs/>
          <w:sz w:val="28"/>
          <w:szCs w:val="28"/>
        </w:rPr>
        <w:t>мiльйони</w:t>
      </w:r>
      <w:proofErr w:type="spellEnd"/>
      <w:r w:rsidRPr="00747D93">
        <w:rPr>
          <w:bCs/>
          <w:sz w:val="28"/>
          <w:szCs w:val="28"/>
        </w:rPr>
        <w:t xml:space="preserve"> дев`ятсот </w:t>
      </w:r>
      <w:proofErr w:type="spellStart"/>
      <w:r w:rsidRPr="00747D93">
        <w:rPr>
          <w:bCs/>
          <w:sz w:val="28"/>
          <w:szCs w:val="28"/>
        </w:rPr>
        <w:t>шiстдесят</w:t>
      </w:r>
      <w:proofErr w:type="spellEnd"/>
      <w:r w:rsidRPr="00747D93">
        <w:rPr>
          <w:bCs/>
          <w:sz w:val="28"/>
          <w:szCs w:val="28"/>
        </w:rPr>
        <w:t xml:space="preserve"> три </w:t>
      </w:r>
      <w:proofErr w:type="spellStart"/>
      <w:r w:rsidRPr="00747D93">
        <w:rPr>
          <w:bCs/>
          <w:sz w:val="28"/>
          <w:szCs w:val="28"/>
        </w:rPr>
        <w:t>тисячi</w:t>
      </w:r>
      <w:proofErr w:type="spellEnd"/>
      <w:r w:rsidRPr="00747D93">
        <w:rPr>
          <w:bCs/>
          <w:sz w:val="28"/>
          <w:szCs w:val="28"/>
        </w:rPr>
        <w:t xml:space="preserve"> </w:t>
      </w:r>
      <w:proofErr w:type="spellStart"/>
      <w:r w:rsidRPr="00747D93">
        <w:rPr>
          <w:bCs/>
          <w:sz w:val="28"/>
          <w:szCs w:val="28"/>
        </w:rPr>
        <w:t>вiсiмсот</w:t>
      </w:r>
      <w:proofErr w:type="spellEnd"/>
      <w:r w:rsidRPr="00747D93">
        <w:rPr>
          <w:bCs/>
          <w:sz w:val="28"/>
          <w:szCs w:val="28"/>
        </w:rPr>
        <w:t xml:space="preserve"> сорок три </w:t>
      </w:r>
      <w:proofErr w:type="spellStart"/>
      <w:r w:rsidRPr="00747D93">
        <w:rPr>
          <w:bCs/>
          <w:sz w:val="28"/>
          <w:szCs w:val="28"/>
        </w:rPr>
        <w:t>гривнi</w:t>
      </w:r>
      <w:proofErr w:type="spellEnd"/>
      <w:r w:rsidRPr="00747D93">
        <w:rPr>
          <w:bCs/>
          <w:sz w:val="28"/>
          <w:szCs w:val="28"/>
        </w:rPr>
        <w:t xml:space="preserve"> 28 </w:t>
      </w:r>
      <w:proofErr w:type="spellStart"/>
      <w:r w:rsidRPr="00747D93">
        <w:rPr>
          <w:bCs/>
          <w:sz w:val="28"/>
          <w:szCs w:val="28"/>
        </w:rPr>
        <w:t>копiйок</w:t>
      </w:r>
      <w:proofErr w:type="spellEnd"/>
      <w:r w:rsidRPr="00747D93">
        <w:rPr>
          <w:bCs/>
          <w:sz w:val="28"/>
          <w:szCs w:val="28"/>
        </w:rPr>
        <w:t>)</w:t>
      </w:r>
      <w:r w:rsidRPr="00747D93">
        <w:rPr>
          <w:rFonts w:eastAsia="MS Mincho"/>
          <w:sz w:val="28"/>
          <w:szCs w:val="28"/>
        </w:rPr>
        <w:t xml:space="preserve">, </w:t>
      </w:r>
      <w:r w:rsidRPr="00747D93">
        <w:rPr>
          <w:rFonts w:eastAsia="MS Mincho"/>
          <w:b/>
          <w:bCs/>
          <w:sz w:val="28"/>
          <w:szCs w:val="28"/>
        </w:rPr>
        <w:t>з ПДВ</w:t>
      </w:r>
      <w:r w:rsidR="00877C0A" w:rsidRPr="00747D93">
        <w:rPr>
          <w:rFonts w:eastAsia="MS Mincho"/>
          <w:sz w:val="28"/>
          <w:szCs w:val="28"/>
        </w:rPr>
        <w:t>, зокрема:</w:t>
      </w:r>
    </w:p>
    <w:p w:rsidR="00747D93" w:rsidRPr="00747D93" w:rsidRDefault="00747D93" w:rsidP="00747D93">
      <w:pPr>
        <w:pStyle w:val="a8"/>
        <w:spacing w:before="0" w:beforeAutospacing="0" w:after="0" w:afterAutospacing="0"/>
        <w:jc w:val="both"/>
        <w:rPr>
          <w:bCs/>
          <w:sz w:val="28"/>
          <w:szCs w:val="28"/>
        </w:rPr>
      </w:pPr>
      <w:r w:rsidRPr="00747D93">
        <w:rPr>
          <w:rFonts w:eastAsia="MS Mincho"/>
          <w:sz w:val="28"/>
          <w:szCs w:val="28"/>
        </w:rPr>
        <w:t xml:space="preserve">лот 1 - 1 516 000,00 грн (Один </w:t>
      </w:r>
      <w:proofErr w:type="spellStart"/>
      <w:r w:rsidRPr="00747D93">
        <w:rPr>
          <w:rFonts w:eastAsia="MS Mincho"/>
          <w:sz w:val="28"/>
          <w:szCs w:val="28"/>
        </w:rPr>
        <w:t>мiльйон</w:t>
      </w:r>
      <w:proofErr w:type="spellEnd"/>
      <w:r w:rsidRPr="00747D93">
        <w:rPr>
          <w:rFonts w:eastAsia="MS Mincho"/>
          <w:sz w:val="28"/>
          <w:szCs w:val="28"/>
        </w:rPr>
        <w:t xml:space="preserve"> п`ятсот </w:t>
      </w:r>
      <w:proofErr w:type="spellStart"/>
      <w:r w:rsidRPr="00747D93">
        <w:rPr>
          <w:rFonts w:eastAsia="MS Mincho"/>
          <w:sz w:val="28"/>
          <w:szCs w:val="28"/>
        </w:rPr>
        <w:t>шiстнадцять</w:t>
      </w:r>
      <w:proofErr w:type="spellEnd"/>
      <w:r w:rsidRPr="00747D93">
        <w:rPr>
          <w:rFonts w:eastAsia="MS Mincho"/>
          <w:sz w:val="28"/>
          <w:szCs w:val="28"/>
        </w:rPr>
        <w:t xml:space="preserve"> тисяч гривень 00 </w:t>
      </w:r>
      <w:proofErr w:type="spellStart"/>
      <w:r w:rsidRPr="00747D93">
        <w:rPr>
          <w:rFonts w:eastAsia="MS Mincho"/>
          <w:sz w:val="28"/>
          <w:szCs w:val="28"/>
        </w:rPr>
        <w:t>копiйок</w:t>
      </w:r>
      <w:proofErr w:type="spellEnd"/>
      <w:r w:rsidRPr="00747D93">
        <w:rPr>
          <w:rFonts w:eastAsia="MS Mincho"/>
          <w:sz w:val="28"/>
          <w:szCs w:val="28"/>
        </w:rPr>
        <w:t>), з ПДВ;</w:t>
      </w:r>
    </w:p>
    <w:p w:rsidR="00E7188A" w:rsidRPr="00747D93" w:rsidRDefault="00747D93" w:rsidP="00747D93">
      <w:pPr>
        <w:jc w:val="both"/>
        <w:rPr>
          <w:rFonts w:eastAsia="MS Mincho"/>
          <w:sz w:val="28"/>
          <w:szCs w:val="28"/>
        </w:rPr>
      </w:pPr>
      <w:r w:rsidRPr="00747D93">
        <w:rPr>
          <w:rFonts w:eastAsia="MS Mincho"/>
          <w:sz w:val="28"/>
          <w:szCs w:val="28"/>
        </w:rPr>
        <w:t xml:space="preserve">лот 2 - 2 447 843,28 грн (Два </w:t>
      </w:r>
      <w:proofErr w:type="spellStart"/>
      <w:r w:rsidRPr="00747D93">
        <w:rPr>
          <w:rFonts w:eastAsia="MS Mincho"/>
          <w:sz w:val="28"/>
          <w:szCs w:val="28"/>
        </w:rPr>
        <w:t>мiльйони</w:t>
      </w:r>
      <w:proofErr w:type="spellEnd"/>
      <w:r w:rsidRPr="00747D93">
        <w:rPr>
          <w:rFonts w:eastAsia="MS Mincho"/>
          <w:sz w:val="28"/>
          <w:szCs w:val="28"/>
        </w:rPr>
        <w:t xml:space="preserve"> чотириста сорок </w:t>
      </w:r>
      <w:proofErr w:type="spellStart"/>
      <w:r w:rsidRPr="00747D93">
        <w:rPr>
          <w:rFonts w:eastAsia="MS Mincho"/>
          <w:sz w:val="28"/>
          <w:szCs w:val="28"/>
        </w:rPr>
        <w:t>сiм</w:t>
      </w:r>
      <w:proofErr w:type="spellEnd"/>
      <w:r w:rsidRPr="00747D93">
        <w:rPr>
          <w:rFonts w:eastAsia="MS Mincho"/>
          <w:sz w:val="28"/>
          <w:szCs w:val="28"/>
        </w:rPr>
        <w:t xml:space="preserve"> тисяч </w:t>
      </w:r>
      <w:proofErr w:type="spellStart"/>
      <w:r w:rsidRPr="00747D93">
        <w:rPr>
          <w:rFonts w:eastAsia="MS Mincho"/>
          <w:sz w:val="28"/>
          <w:szCs w:val="28"/>
        </w:rPr>
        <w:t>вiсiмсот</w:t>
      </w:r>
      <w:proofErr w:type="spellEnd"/>
      <w:r w:rsidRPr="00747D93">
        <w:rPr>
          <w:rFonts w:eastAsia="MS Mincho"/>
          <w:sz w:val="28"/>
          <w:szCs w:val="28"/>
        </w:rPr>
        <w:t xml:space="preserve"> сорок три </w:t>
      </w:r>
      <w:proofErr w:type="spellStart"/>
      <w:r w:rsidRPr="00747D93">
        <w:rPr>
          <w:rFonts w:eastAsia="MS Mincho"/>
          <w:sz w:val="28"/>
          <w:szCs w:val="28"/>
        </w:rPr>
        <w:t>гривнi</w:t>
      </w:r>
      <w:proofErr w:type="spellEnd"/>
      <w:r w:rsidRPr="00747D93">
        <w:rPr>
          <w:rFonts w:eastAsia="MS Mincho"/>
          <w:sz w:val="28"/>
          <w:szCs w:val="28"/>
        </w:rPr>
        <w:t xml:space="preserve"> 28 </w:t>
      </w:r>
      <w:proofErr w:type="spellStart"/>
      <w:r w:rsidRPr="00747D93">
        <w:rPr>
          <w:rFonts w:eastAsia="MS Mincho"/>
          <w:sz w:val="28"/>
          <w:szCs w:val="28"/>
        </w:rPr>
        <w:t>копiйок</w:t>
      </w:r>
      <w:proofErr w:type="spellEnd"/>
      <w:r w:rsidRPr="00747D93">
        <w:rPr>
          <w:rFonts w:eastAsia="MS Mincho"/>
          <w:sz w:val="28"/>
          <w:szCs w:val="28"/>
        </w:rPr>
        <w:t>), з ПДВ</w:t>
      </w:r>
      <w:r w:rsidR="006B2C00" w:rsidRPr="00747D93">
        <w:rPr>
          <w:rFonts w:eastAsia="MS Mincho"/>
          <w:sz w:val="28"/>
          <w:szCs w:val="28"/>
        </w:rPr>
        <w:t>.</w:t>
      </w:r>
    </w:p>
    <w:p w:rsidR="00E7188A" w:rsidRPr="003C4207" w:rsidRDefault="00E7188A" w:rsidP="003C4207">
      <w:pPr>
        <w:jc w:val="both"/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p w:rsidR="00E7188A" w:rsidRDefault="00E7188A" w:rsidP="00992B05">
      <w:pPr>
        <w:rPr>
          <w:rFonts w:eastAsia="MS Mincho"/>
          <w:sz w:val="28"/>
          <w:szCs w:val="28"/>
        </w:rPr>
      </w:pPr>
    </w:p>
    <w:sectPr w:rsidR="00E7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E11533"/>
    <w:multiLevelType w:val="hybridMultilevel"/>
    <w:tmpl w:val="0E58A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35"/>
  </w:num>
  <w:num w:numId="4">
    <w:abstractNumId w:val="2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6"/>
  </w:num>
  <w:num w:numId="26">
    <w:abstractNumId w:val="11"/>
  </w:num>
  <w:num w:numId="27">
    <w:abstractNumId w:val="17"/>
  </w:num>
  <w:num w:numId="28">
    <w:abstractNumId w:val="37"/>
  </w:num>
  <w:num w:numId="29">
    <w:abstractNumId w:val="26"/>
  </w:num>
  <w:num w:numId="30">
    <w:abstractNumId w:val="24"/>
  </w:num>
  <w:num w:numId="31">
    <w:abstractNumId w:val="25"/>
  </w:num>
  <w:num w:numId="32">
    <w:abstractNumId w:val="21"/>
  </w:num>
  <w:num w:numId="33">
    <w:abstractNumId w:val="32"/>
  </w:num>
  <w:num w:numId="34">
    <w:abstractNumId w:val="30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6"/>
  </w:num>
  <w:num w:numId="38">
    <w:abstractNumId w:val="38"/>
  </w:num>
  <w:num w:numId="3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06A7D"/>
    <w:rsid w:val="00017C12"/>
    <w:rsid w:val="0002297E"/>
    <w:rsid w:val="00030A5D"/>
    <w:rsid w:val="000731E1"/>
    <w:rsid w:val="00076E5B"/>
    <w:rsid w:val="0008059F"/>
    <w:rsid w:val="000809BA"/>
    <w:rsid w:val="00092739"/>
    <w:rsid w:val="000975BE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7427"/>
    <w:rsid w:val="00113B3A"/>
    <w:rsid w:val="00116FB2"/>
    <w:rsid w:val="00116FFD"/>
    <w:rsid w:val="001170E4"/>
    <w:rsid w:val="0014099F"/>
    <w:rsid w:val="00152E1B"/>
    <w:rsid w:val="0015394C"/>
    <w:rsid w:val="001712DF"/>
    <w:rsid w:val="00184E9F"/>
    <w:rsid w:val="00185BFE"/>
    <w:rsid w:val="001969C6"/>
    <w:rsid w:val="001A02B9"/>
    <w:rsid w:val="001A46C0"/>
    <w:rsid w:val="001B135C"/>
    <w:rsid w:val="001B51C7"/>
    <w:rsid w:val="001B60EC"/>
    <w:rsid w:val="001C3DFD"/>
    <w:rsid w:val="001F3469"/>
    <w:rsid w:val="001F7E5D"/>
    <w:rsid w:val="002112CF"/>
    <w:rsid w:val="00216FD1"/>
    <w:rsid w:val="00246867"/>
    <w:rsid w:val="002541C5"/>
    <w:rsid w:val="00262AD2"/>
    <w:rsid w:val="0026696F"/>
    <w:rsid w:val="002764BD"/>
    <w:rsid w:val="00287E27"/>
    <w:rsid w:val="00294D05"/>
    <w:rsid w:val="002B11BD"/>
    <w:rsid w:val="002B6F1B"/>
    <w:rsid w:val="002B7E63"/>
    <w:rsid w:val="002C31BF"/>
    <w:rsid w:val="002D1367"/>
    <w:rsid w:val="002D22A6"/>
    <w:rsid w:val="002E20DF"/>
    <w:rsid w:val="002E5181"/>
    <w:rsid w:val="002E5830"/>
    <w:rsid w:val="002F3AF9"/>
    <w:rsid w:val="00306C00"/>
    <w:rsid w:val="00310D8A"/>
    <w:rsid w:val="00322106"/>
    <w:rsid w:val="003272ED"/>
    <w:rsid w:val="00332AE4"/>
    <w:rsid w:val="00352629"/>
    <w:rsid w:val="00352A71"/>
    <w:rsid w:val="0035583C"/>
    <w:rsid w:val="0036166A"/>
    <w:rsid w:val="003625AA"/>
    <w:rsid w:val="003641A6"/>
    <w:rsid w:val="00392B5B"/>
    <w:rsid w:val="003A7D39"/>
    <w:rsid w:val="003B31D8"/>
    <w:rsid w:val="003B60F3"/>
    <w:rsid w:val="003C4207"/>
    <w:rsid w:val="003C5EB7"/>
    <w:rsid w:val="003D3F72"/>
    <w:rsid w:val="003E11F1"/>
    <w:rsid w:val="00403F81"/>
    <w:rsid w:val="00405126"/>
    <w:rsid w:val="00424AAE"/>
    <w:rsid w:val="00431E5F"/>
    <w:rsid w:val="00433F80"/>
    <w:rsid w:val="00453BF0"/>
    <w:rsid w:val="00460F05"/>
    <w:rsid w:val="00461B51"/>
    <w:rsid w:val="004662DF"/>
    <w:rsid w:val="00471C66"/>
    <w:rsid w:val="00486B15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3187C"/>
    <w:rsid w:val="00546CFE"/>
    <w:rsid w:val="00574ECF"/>
    <w:rsid w:val="0058325C"/>
    <w:rsid w:val="0058731F"/>
    <w:rsid w:val="005942E1"/>
    <w:rsid w:val="005B188C"/>
    <w:rsid w:val="005B4DEE"/>
    <w:rsid w:val="005B6E36"/>
    <w:rsid w:val="005D7F21"/>
    <w:rsid w:val="005E70FD"/>
    <w:rsid w:val="005F3340"/>
    <w:rsid w:val="00606521"/>
    <w:rsid w:val="00620C8C"/>
    <w:rsid w:val="00640658"/>
    <w:rsid w:val="006439E9"/>
    <w:rsid w:val="00651A90"/>
    <w:rsid w:val="006557BF"/>
    <w:rsid w:val="00663EB5"/>
    <w:rsid w:val="0066427A"/>
    <w:rsid w:val="00685E93"/>
    <w:rsid w:val="00694722"/>
    <w:rsid w:val="006B0C41"/>
    <w:rsid w:val="006B2C00"/>
    <w:rsid w:val="006C0C3C"/>
    <w:rsid w:val="006C5000"/>
    <w:rsid w:val="006C5BE6"/>
    <w:rsid w:val="006D2108"/>
    <w:rsid w:val="006D6734"/>
    <w:rsid w:val="006E6BE0"/>
    <w:rsid w:val="006F2A6D"/>
    <w:rsid w:val="006F3CDF"/>
    <w:rsid w:val="007067C0"/>
    <w:rsid w:val="00710EFD"/>
    <w:rsid w:val="0072183A"/>
    <w:rsid w:val="007379DE"/>
    <w:rsid w:val="007447AC"/>
    <w:rsid w:val="0074550B"/>
    <w:rsid w:val="00747D93"/>
    <w:rsid w:val="00750FDC"/>
    <w:rsid w:val="007549EA"/>
    <w:rsid w:val="00770038"/>
    <w:rsid w:val="00774441"/>
    <w:rsid w:val="00782DF6"/>
    <w:rsid w:val="00787EDE"/>
    <w:rsid w:val="007A4920"/>
    <w:rsid w:val="007A56C2"/>
    <w:rsid w:val="007A757A"/>
    <w:rsid w:val="007B1B75"/>
    <w:rsid w:val="0080020D"/>
    <w:rsid w:val="00800AD8"/>
    <w:rsid w:val="00814552"/>
    <w:rsid w:val="00820932"/>
    <w:rsid w:val="008233F8"/>
    <w:rsid w:val="00834670"/>
    <w:rsid w:val="008443CC"/>
    <w:rsid w:val="00872344"/>
    <w:rsid w:val="00877C0A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E0E66"/>
    <w:rsid w:val="008E4BA4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61FF"/>
    <w:rsid w:val="00A62278"/>
    <w:rsid w:val="00A73422"/>
    <w:rsid w:val="00A762FE"/>
    <w:rsid w:val="00A80B0A"/>
    <w:rsid w:val="00A83630"/>
    <w:rsid w:val="00A93034"/>
    <w:rsid w:val="00A9751A"/>
    <w:rsid w:val="00AA72B4"/>
    <w:rsid w:val="00AB5AB6"/>
    <w:rsid w:val="00AD171E"/>
    <w:rsid w:val="00AE5FC7"/>
    <w:rsid w:val="00AF5E19"/>
    <w:rsid w:val="00B05CE4"/>
    <w:rsid w:val="00B1432A"/>
    <w:rsid w:val="00B2265C"/>
    <w:rsid w:val="00B44D15"/>
    <w:rsid w:val="00B632E3"/>
    <w:rsid w:val="00B8504B"/>
    <w:rsid w:val="00BA4216"/>
    <w:rsid w:val="00BB6E0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2445"/>
    <w:rsid w:val="00C959CA"/>
    <w:rsid w:val="00CA1D9E"/>
    <w:rsid w:val="00CB7341"/>
    <w:rsid w:val="00CB7D50"/>
    <w:rsid w:val="00CC2468"/>
    <w:rsid w:val="00CC557E"/>
    <w:rsid w:val="00CC6440"/>
    <w:rsid w:val="00CF69B5"/>
    <w:rsid w:val="00D00E7F"/>
    <w:rsid w:val="00D10053"/>
    <w:rsid w:val="00D347C5"/>
    <w:rsid w:val="00D34CF7"/>
    <w:rsid w:val="00D64434"/>
    <w:rsid w:val="00D73212"/>
    <w:rsid w:val="00D81F01"/>
    <w:rsid w:val="00D84D50"/>
    <w:rsid w:val="00D93296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7100"/>
    <w:rsid w:val="00E40764"/>
    <w:rsid w:val="00E4747B"/>
    <w:rsid w:val="00E64C66"/>
    <w:rsid w:val="00E67100"/>
    <w:rsid w:val="00E6722E"/>
    <w:rsid w:val="00E7188A"/>
    <w:rsid w:val="00E7525B"/>
    <w:rsid w:val="00E8566B"/>
    <w:rsid w:val="00EA061B"/>
    <w:rsid w:val="00EA2410"/>
    <w:rsid w:val="00EA5B39"/>
    <w:rsid w:val="00EB13D1"/>
    <w:rsid w:val="00EC77FA"/>
    <w:rsid w:val="00ED0CD4"/>
    <w:rsid w:val="00ED123E"/>
    <w:rsid w:val="00ED579C"/>
    <w:rsid w:val="00EF4AA5"/>
    <w:rsid w:val="00EF5C86"/>
    <w:rsid w:val="00F00F24"/>
    <w:rsid w:val="00F01329"/>
    <w:rsid w:val="00F0194F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F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99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  <w:style w:type="paragraph" w:customStyle="1" w:styleId="aff6">
    <w:basedOn w:val="a"/>
    <w:next w:val="a8"/>
    <w:rsid w:val="00CB734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ongtext">
    <w:name w:val="long_text"/>
    <w:uiPriority w:val="99"/>
    <w:rsid w:val="00262A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5A04-0EB0-4020-80C7-472AF39F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2022-06-15T14:57:00Z</cp:lastPrinted>
  <dcterms:created xsi:type="dcterms:W3CDTF">2022-06-20T08:00:00Z</dcterms:created>
  <dcterms:modified xsi:type="dcterms:W3CDTF">2022-06-20T08:00:00Z</dcterms:modified>
</cp:coreProperties>
</file>