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Основні факти про електронний рецепт на рецептурні ліки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Е-рецепт буде впроваджуватися поступово: так для своєї зручності ви зможете самостійно обрати, за яким рецептом ви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бажаєте придбати ліки в аптеці – електронним чи паперовим.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 того ж за відсутності світла чи звʼязку у медичному закладі, лікар, також випише вам рецепт на спеціальному паперовому бланку.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Електронний рецепт можна буде отримати в будь-якого лікаря, незалежно від наявності декларації з сімейним лікарем. Водночас пацієнт має бути обов’язково зареєстрований в ЕСОЗ – це проста процедура, яку може швидко здійснити будь-який лікар.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 разі тривалого лікування гострих або хронічних захворювань, або ж за потреби продовжити лікування чи профілактику повторний електронний рецепт на потрібні ліки можна буде отримати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дистанційно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Для цього в системі має бути зафіксований діагноз та призначення від вашого лікуючого лікаря.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Якщо ви маєте хронічні захворювання, завчасно перевірте інструкцію ліків, які ви вживаєте, та якщо вони рецептурні – заплануйте візит до вашого лікуючого лікаря у квітні для того, щоби надалі безперешкодно придбати ліки за рецептом в аптеці.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Ви зможете погасити електронний рецепт частково, тобто придбати меншу кількість ліків, аніж вам призначив лікар. Так ви зможете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одноразово погасити рецепт на мінімальну кількість препарату (наприклад, блістер чи ампулу). При цьому повторно отримувати рецепт для відпуску залишку ліків не потрібно.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 разі, якщо ви чи ваші близькі не маєте мобільного телефону, лікар надрукує спеціальну інформаційну пам’ятку з деталями призначення, номером та кодом для погашення рецепта в аптеці.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100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